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5BA6B7B6" w:rsidR="00AB5B5F" w:rsidRPr="008636E2" w:rsidRDefault="002431AD" w:rsidP="00AB5B5F">
      <w:pPr>
        <w:spacing w:after="240"/>
        <w:ind w:right="-1"/>
        <w:rPr>
          <w:rFonts w:ascii="Proxima Nova Light" w:eastAsiaTheme="minorHAnsi" w:hAnsi="Proxima Nova Light" w:cs="Open Sans"/>
          <w:szCs w:val="18"/>
        </w:rPr>
      </w:pPr>
      <w:r>
        <w:rPr>
          <w:rFonts w:ascii="Proxima Nova Light" w:hAnsi="Proxima Nova Light"/>
        </w:rPr>
        <w:t>Sistemi di saldatura perfetti di un unico fornitore</w:t>
      </w:r>
      <w:r w:rsidRPr="008636E2">
        <w:rPr>
          <w:rFonts w:ascii="Proxima Nova Light" w:hAnsi="Proxima Nova Light"/>
        </w:rPr>
        <w:t xml:space="preserve"> per tutti i robot</w:t>
      </w:r>
    </w:p>
    <w:p w14:paraId="0A85104A" w14:textId="25E2A227" w:rsidR="00AB5B5F" w:rsidRPr="008636E2" w:rsidRDefault="006918A2" w:rsidP="00AB5B5F">
      <w:pPr>
        <w:spacing w:after="240" w:line="240" w:lineRule="auto"/>
        <w:ind w:right="-1"/>
        <w:rPr>
          <w:rFonts w:ascii="Proxima Nova" w:eastAsia="Calibri" w:hAnsi="Proxima Nova" w:cs="Open Sans"/>
          <w:sz w:val="32"/>
          <w:szCs w:val="32"/>
        </w:rPr>
      </w:pPr>
      <w:r w:rsidRPr="008636E2">
        <w:rPr>
          <w:rFonts w:ascii="Proxima Nova" w:hAnsi="Proxima Nova"/>
          <w:sz w:val="32"/>
        </w:rPr>
        <w:t>Alte prestazioni nel campo della saldatura robotizzata grazie alla nuova generazione di torce LMR 2 di Lorch</w:t>
      </w:r>
    </w:p>
    <w:p w14:paraId="6BD91803" w14:textId="022D2588" w:rsidR="00AB5B5F" w:rsidRPr="008636E2" w:rsidRDefault="00AB5B5F" w:rsidP="00AB5B5F">
      <w:pPr>
        <w:spacing w:after="240"/>
        <w:ind w:right="-1"/>
        <w:rPr>
          <w:rFonts w:ascii="Open Sans" w:eastAsia="Calibri" w:hAnsi="Open Sans" w:cs="Open Sans"/>
          <w:i/>
          <w:iCs/>
          <w:sz w:val="20"/>
        </w:rPr>
      </w:pPr>
      <w:r w:rsidRPr="008636E2">
        <w:rPr>
          <w:rFonts w:ascii="Open Sans" w:hAnsi="Open Sans"/>
          <w:i/>
          <w:sz w:val="20"/>
        </w:rPr>
        <w:t xml:space="preserve">Le nuove torce ad alte prestazioni LMR 2 di Lorch schiudono gli orizzonti di prestazioni del tutto nuovi nel campo della saldatura robotizzata grazie alle loro numerose innovazioni. Quando si utilizzano le torce progettate in modo specifico per la saldatura automatizzata, i robot sono attualmente in grado di eseguire le operazioni non solo con una maggiore precisione, ma garantiscono costi più contenuti. L'ottimizzazione del sistema di raffreddamento della </w:t>
      </w:r>
      <w:r w:rsidR="008636E2" w:rsidRPr="008636E2">
        <w:rPr>
          <w:rFonts w:ascii="Open Sans" w:hAnsi="Open Sans"/>
          <w:i/>
          <w:sz w:val="20"/>
        </w:rPr>
        <w:t>punta guidafilo</w:t>
      </w:r>
      <w:r w:rsidRPr="008636E2">
        <w:rPr>
          <w:rFonts w:ascii="Open Sans" w:hAnsi="Open Sans"/>
          <w:i/>
          <w:sz w:val="20"/>
        </w:rPr>
        <w:t xml:space="preserve"> e della copertura del gas li rende molto efficienti riducendo</w:t>
      </w:r>
      <w:r w:rsidR="00733057" w:rsidRPr="008636E2">
        <w:rPr>
          <w:rFonts w:ascii="Open Sans" w:hAnsi="Open Sans"/>
          <w:i/>
          <w:sz w:val="20"/>
        </w:rPr>
        <w:t xml:space="preserve"> l’usura dei consumabil</w:t>
      </w:r>
      <w:r w:rsidRPr="008636E2">
        <w:rPr>
          <w:rFonts w:ascii="Open Sans" w:hAnsi="Open Sans"/>
          <w:i/>
          <w:sz w:val="20"/>
        </w:rPr>
        <w:t xml:space="preserve">i. Oltre a queste nuove torce, agli specifici cavi prolunga, all'alimentatore filo e al generatore di corrente, Lorch mette a disposizione di tutti i sistemi robotizzati una soluzione completa e perfettamente armonizzata che assicura la massima efficienza economica. </w:t>
      </w:r>
    </w:p>
    <w:p w14:paraId="07D23871" w14:textId="1B467D2C" w:rsidR="00327F8D" w:rsidRPr="008636E2" w:rsidRDefault="00AB5B5F" w:rsidP="00327F8D">
      <w:pPr>
        <w:spacing w:after="240"/>
        <w:ind w:right="-1"/>
        <w:rPr>
          <w:rFonts w:ascii="Open Sans" w:eastAsia="Calibri" w:hAnsi="Open Sans" w:cs="Open Sans"/>
          <w:sz w:val="20"/>
        </w:rPr>
      </w:pPr>
      <w:r w:rsidRPr="008636E2">
        <w:rPr>
          <w:rFonts w:ascii="Open Sans" w:hAnsi="Open Sans"/>
          <w:sz w:val="20"/>
        </w:rPr>
        <w:t xml:space="preserve">Gli elevati tempi d'attivazione, le quote di ripetibilità con un'altissima precisione, la grande produzione di materiale: l'attività robotizzata definisce requisiti particolarmente elevati nei confronti delle operazioni di saldatura. Grazie alla nuova generazione di torce LMR 2, a disposizione di tutti i comuni robot tipo, Lorch Schweißtechnik offre un sistema di saldatura che è sinonimo di un altissimo livello di qualità e riproducibilità. La torcia LMR assicura prestazioni e produttività d'eccellenza sfruttando una serie di innovazioni già introdotte con il nuovo sistema di torce manuali LMS. Alla base di questi risultati c'è l'anima della torcia progettata in modo specifico: il design coordinato tra la </w:t>
      </w:r>
      <w:r w:rsidR="008636E2" w:rsidRPr="008636E2">
        <w:rPr>
          <w:rFonts w:ascii="Open Sans" w:hAnsi="Open Sans"/>
          <w:sz w:val="20"/>
        </w:rPr>
        <w:t>punta guidafilo</w:t>
      </w:r>
      <w:r w:rsidRPr="008636E2">
        <w:rPr>
          <w:rFonts w:ascii="Open Sans" w:hAnsi="Open Sans"/>
          <w:sz w:val="20"/>
        </w:rPr>
        <w:t xml:space="preserve"> e le rispettive sedi produce un flusso laminare</w:t>
      </w:r>
      <w:r w:rsidR="00733057" w:rsidRPr="008636E2">
        <w:rPr>
          <w:rFonts w:ascii="Open Sans" w:hAnsi="Open Sans"/>
          <w:sz w:val="20"/>
        </w:rPr>
        <w:t xml:space="preserve"> del gas</w:t>
      </w:r>
      <w:r w:rsidRPr="008636E2">
        <w:rPr>
          <w:rFonts w:ascii="Open Sans" w:hAnsi="Open Sans"/>
          <w:sz w:val="20"/>
        </w:rPr>
        <w:t xml:space="preserve"> e garantisce una perfetta copertura</w:t>
      </w:r>
      <w:r w:rsidR="00733057" w:rsidRPr="008636E2">
        <w:rPr>
          <w:rFonts w:ascii="Open Sans" w:hAnsi="Open Sans"/>
          <w:sz w:val="20"/>
        </w:rPr>
        <w:t xml:space="preserve"> dell’arco</w:t>
      </w:r>
      <w:r w:rsidR="008636E2" w:rsidRPr="008636E2">
        <w:rPr>
          <w:rFonts w:ascii="Open Sans" w:hAnsi="Open Sans"/>
          <w:sz w:val="20"/>
        </w:rPr>
        <w:t xml:space="preserve"> elettrico</w:t>
      </w:r>
      <w:r w:rsidRPr="008636E2">
        <w:rPr>
          <w:rFonts w:ascii="Open Sans" w:hAnsi="Open Sans"/>
          <w:sz w:val="20"/>
        </w:rPr>
        <w:t xml:space="preserve">. Le </w:t>
      </w:r>
      <w:r w:rsidR="00733057" w:rsidRPr="008636E2">
        <w:rPr>
          <w:rFonts w:ascii="Open Sans" w:hAnsi="Open Sans"/>
          <w:sz w:val="20"/>
        </w:rPr>
        <w:t>punte</w:t>
      </w:r>
      <w:r w:rsidR="008636E2" w:rsidRPr="008636E2">
        <w:rPr>
          <w:rFonts w:ascii="Open Sans" w:hAnsi="Open Sans"/>
          <w:sz w:val="20"/>
        </w:rPr>
        <w:t xml:space="preserve"> guidafilo</w:t>
      </w:r>
      <w:r w:rsidRPr="008636E2">
        <w:rPr>
          <w:rFonts w:ascii="Open Sans" w:hAnsi="Open Sans"/>
          <w:sz w:val="20"/>
        </w:rPr>
        <w:t xml:space="preserve"> </w:t>
      </w:r>
      <w:r w:rsidR="00EC7693" w:rsidRPr="008636E2">
        <w:rPr>
          <w:rFonts w:ascii="Open Sans" w:hAnsi="Open Sans"/>
          <w:sz w:val="20"/>
        </w:rPr>
        <w:t xml:space="preserve">lavorate a </w:t>
      </w:r>
      <w:r w:rsidRPr="008636E2">
        <w:rPr>
          <w:rFonts w:ascii="Open Sans" w:hAnsi="Open Sans"/>
          <w:sz w:val="20"/>
        </w:rPr>
        <w:t xml:space="preserve">mandrino contrastano la formazione di </w:t>
      </w:r>
      <w:proofErr w:type="spellStart"/>
      <w:r w:rsidRPr="008636E2">
        <w:rPr>
          <w:rFonts w:ascii="Open Sans" w:hAnsi="Open Sans"/>
          <w:sz w:val="20"/>
        </w:rPr>
        <w:t>microarchi</w:t>
      </w:r>
      <w:proofErr w:type="spellEnd"/>
      <w:r w:rsidRPr="008636E2">
        <w:rPr>
          <w:rFonts w:ascii="Open Sans" w:hAnsi="Open Sans"/>
          <w:sz w:val="20"/>
        </w:rPr>
        <w:t xml:space="preserve"> elettrici nella parte interna. Inoltre, la loro struttura speciale contribuisce a un effetto raddrizzatore del filo e un passaggio ottimale della corrente</w:t>
      </w:r>
      <w:r w:rsidR="00EC7693" w:rsidRPr="008636E2">
        <w:rPr>
          <w:rFonts w:ascii="Open Sans" w:hAnsi="Open Sans"/>
          <w:sz w:val="20"/>
        </w:rPr>
        <w:t xml:space="preserve"> nella corretta direzione</w:t>
      </w:r>
      <w:r w:rsidRPr="008636E2">
        <w:rPr>
          <w:rFonts w:ascii="Open Sans" w:hAnsi="Open Sans"/>
          <w:sz w:val="20"/>
        </w:rPr>
        <w:t>. Si ottengono saldature più precise grazie all'arco elettrico più stabile e ad un migliore trasferimento del materiale. Inoltre, le opacizzazioni si riducono al minimo quando si salda l'acciaio inossidabile e si contiene l'emissione dei fumi durante la saldatura dell'alluminio.</w:t>
      </w:r>
    </w:p>
    <w:p w14:paraId="390676EE" w14:textId="10BD4D4A" w:rsidR="00507E2A" w:rsidRPr="008636E2" w:rsidRDefault="00AB5B5F" w:rsidP="00507E2A">
      <w:pPr>
        <w:spacing w:after="240"/>
        <w:ind w:right="-1"/>
        <w:rPr>
          <w:rFonts w:ascii="Open Sans" w:eastAsia="Calibri" w:hAnsi="Open Sans" w:cs="Open Sans"/>
          <w:sz w:val="20"/>
        </w:rPr>
      </w:pPr>
      <w:r w:rsidRPr="008636E2">
        <w:rPr>
          <w:rFonts w:ascii="Open Sans" w:hAnsi="Open Sans"/>
          <w:sz w:val="20"/>
        </w:rPr>
        <w:t xml:space="preserve">La struttura speciale del </w:t>
      </w:r>
      <w:proofErr w:type="spellStart"/>
      <w:r w:rsidRPr="008636E2">
        <w:rPr>
          <w:rFonts w:ascii="Open Sans" w:hAnsi="Open Sans"/>
          <w:sz w:val="20"/>
        </w:rPr>
        <w:t>portaugello</w:t>
      </w:r>
      <w:proofErr w:type="spellEnd"/>
      <w:r w:rsidRPr="008636E2">
        <w:rPr>
          <w:rFonts w:ascii="Open Sans" w:hAnsi="Open Sans"/>
          <w:sz w:val="20"/>
        </w:rPr>
        <w:t xml:space="preserve"> / </w:t>
      </w:r>
      <w:proofErr w:type="gramStart"/>
      <w:r w:rsidR="000F061A" w:rsidRPr="008636E2">
        <w:rPr>
          <w:rFonts w:ascii="Open Sans" w:hAnsi="Open Sans"/>
          <w:sz w:val="20"/>
        </w:rPr>
        <w:t xml:space="preserve">diffusore </w:t>
      </w:r>
      <w:r w:rsidRPr="008636E2">
        <w:rPr>
          <w:rFonts w:ascii="Open Sans" w:hAnsi="Open Sans"/>
          <w:sz w:val="20"/>
        </w:rPr>
        <w:t xml:space="preserve"> gas</w:t>
      </w:r>
      <w:proofErr w:type="gramEnd"/>
      <w:r w:rsidRPr="008636E2">
        <w:rPr>
          <w:rFonts w:ascii="Open Sans" w:hAnsi="Open Sans"/>
          <w:sz w:val="20"/>
        </w:rPr>
        <w:t xml:space="preserve"> in ottone consente una veloce dissipazione del calore assicurando la protezione da eccessive </w:t>
      </w:r>
      <w:r w:rsidRPr="008636E2">
        <w:rPr>
          <w:rFonts w:ascii="Open Sans" w:hAnsi="Open Sans"/>
          <w:sz w:val="20"/>
        </w:rPr>
        <w:lastRenderedPageBreak/>
        <w:t xml:space="preserve">sollecitazioni termiche in caso di funzionamento prolungato. </w:t>
      </w:r>
      <w:proofErr w:type="gramStart"/>
      <w:r w:rsidRPr="008636E2">
        <w:rPr>
          <w:rFonts w:ascii="Open Sans" w:hAnsi="Open Sans"/>
          <w:sz w:val="20"/>
        </w:rPr>
        <w:t>L'innovativ</w:t>
      </w:r>
      <w:r w:rsidR="000F061A" w:rsidRPr="008636E2">
        <w:rPr>
          <w:rFonts w:ascii="Open Sans" w:hAnsi="Open Sans"/>
          <w:sz w:val="20"/>
        </w:rPr>
        <w:t>a</w:t>
      </w:r>
      <w:r w:rsidRPr="008636E2">
        <w:rPr>
          <w:rFonts w:ascii="Open Sans" w:hAnsi="Open Sans"/>
          <w:sz w:val="20"/>
        </w:rPr>
        <w:t xml:space="preserve">  </w:t>
      </w:r>
      <w:r w:rsidR="000F061A" w:rsidRPr="008636E2">
        <w:rPr>
          <w:rFonts w:ascii="Open Sans" w:hAnsi="Open Sans"/>
          <w:sz w:val="20"/>
        </w:rPr>
        <w:t>canalizzazione</w:t>
      </w:r>
      <w:proofErr w:type="gramEnd"/>
      <w:r w:rsidR="000F061A" w:rsidRPr="008636E2">
        <w:rPr>
          <w:rFonts w:ascii="Open Sans" w:hAnsi="Open Sans"/>
          <w:sz w:val="20"/>
        </w:rPr>
        <w:t xml:space="preserve"> </w:t>
      </w:r>
      <w:r w:rsidRPr="008636E2">
        <w:rPr>
          <w:rFonts w:ascii="Open Sans" w:hAnsi="Open Sans"/>
          <w:sz w:val="20"/>
        </w:rPr>
        <w:t xml:space="preserve">del gas inerte dotata di schermatura garantisce un ulteriore raffreddamento della </w:t>
      </w:r>
      <w:r w:rsidR="008636E2" w:rsidRPr="008636E2">
        <w:rPr>
          <w:rFonts w:ascii="Open Sans" w:hAnsi="Open Sans"/>
          <w:sz w:val="20"/>
        </w:rPr>
        <w:t>punta guidafilo</w:t>
      </w:r>
      <w:r w:rsidRPr="008636E2">
        <w:rPr>
          <w:rFonts w:ascii="Open Sans" w:hAnsi="Open Sans"/>
          <w:sz w:val="20"/>
        </w:rPr>
        <w:t xml:space="preserve"> e un flusso ottimale del gas nell'area d'uscita. La realizzazione costante delle connessioni rame - rame per il flusso</w:t>
      </w:r>
      <w:r w:rsidR="000F061A" w:rsidRPr="008636E2">
        <w:rPr>
          <w:rFonts w:ascii="Open Sans" w:hAnsi="Open Sans"/>
          <w:sz w:val="20"/>
        </w:rPr>
        <w:t xml:space="preserve"> elettrico</w:t>
      </w:r>
      <w:r w:rsidRPr="008636E2">
        <w:rPr>
          <w:rFonts w:ascii="Open Sans" w:hAnsi="Open Sans"/>
          <w:sz w:val="20"/>
        </w:rPr>
        <w:t xml:space="preserve"> e il raffreddamento ad alta efficienza determinano una resistenza significativamente ridotta </w:t>
      </w:r>
      <w:proofErr w:type="spellStart"/>
      <w:r w:rsidRPr="008636E2">
        <w:rPr>
          <w:rFonts w:ascii="Open Sans" w:hAnsi="Open Sans"/>
          <w:sz w:val="20"/>
        </w:rPr>
        <w:t>nel</w:t>
      </w:r>
      <w:r w:rsidR="008636E2" w:rsidRPr="008636E2">
        <w:rPr>
          <w:rFonts w:ascii="Open Sans" w:hAnsi="Open Sans"/>
          <w:sz w:val="20"/>
        </w:rPr>
        <w:t>cavo</w:t>
      </w:r>
      <w:proofErr w:type="spellEnd"/>
      <w:r w:rsidR="008636E2" w:rsidRPr="008636E2">
        <w:rPr>
          <w:rFonts w:ascii="Open Sans" w:hAnsi="Open Sans"/>
          <w:sz w:val="20"/>
        </w:rPr>
        <w:t xml:space="preserve"> della</w:t>
      </w:r>
      <w:r w:rsidRPr="008636E2">
        <w:rPr>
          <w:rFonts w:ascii="Open Sans" w:hAnsi="Open Sans"/>
          <w:sz w:val="20"/>
        </w:rPr>
        <w:t xml:space="preserve"> torcia. Entrambe queste caratteristiche vanno a tutto vantaggio dei particolari soggetti a usura e ne prolungano la durata utile.  </w:t>
      </w:r>
    </w:p>
    <w:p w14:paraId="50F151DA" w14:textId="3C982E27" w:rsidR="00AB5B5F" w:rsidRPr="008636E2" w:rsidRDefault="00AB5B5F" w:rsidP="00AB5B5F">
      <w:pPr>
        <w:spacing w:after="240"/>
        <w:ind w:right="-1"/>
        <w:rPr>
          <w:rFonts w:ascii="Open Sans" w:eastAsia="Calibri" w:hAnsi="Open Sans" w:cs="Open Sans"/>
          <w:sz w:val="20"/>
        </w:rPr>
      </w:pPr>
      <w:r w:rsidRPr="008636E2">
        <w:rPr>
          <w:rFonts w:ascii="Open Sans" w:hAnsi="Open Sans"/>
          <w:sz w:val="20"/>
        </w:rPr>
        <w:t xml:space="preserve">Questo innovativo sistema di raffreddamento non è l'unica caratteristica che garantisce un risparmio </w:t>
      </w:r>
      <w:r w:rsidR="00880279" w:rsidRPr="008636E2">
        <w:rPr>
          <w:rFonts w:ascii="Open Sans" w:hAnsi="Open Sans"/>
          <w:sz w:val="20"/>
        </w:rPr>
        <w:t xml:space="preserve">dei consumabili </w:t>
      </w:r>
      <w:r w:rsidRPr="008636E2">
        <w:rPr>
          <w:rFonts w:ascii="Open Sans" w:hAnsi="Open Sans"/>
          <w:sz w:val="20"/>
        </w:rPr>
        <w:t>e</w:t>
      </w:r>
      <w:r w:rsidR="00880279" w:rsidRPr="008636E2">
        <w:rPr>
          <w:rFonts w:ascii="Open Sans" w:hAnsi="Open Sans"/>
          <w:sz w:val="20"/>
        </w:rPr>
        <w:t xml:space="preserve"> ne</w:t>
      </w:r>
      <w:r w:rsidRPr="008636E2">
        <w:rPr>
          <w:rFonts w:ascii="Open Sans" w:hAnsi="Open Sans"/>
          <w:sz w:val="20"/>
        </w:rPr>
        <w:t xml:space="preserve"> riduce l'usura in modo significativo, ma anche la condotta del gas inerte separata e a basso consumo</w:t>
      </w:r>
      <w:r w:rsidR="008636E2" w:rsidRPr="008636E2">
        <w:rPr>
          <w:rFonts w:ascii="Open Sans" w:hAnsi="Open Sans"/>
          <w:sz w:val="20"/>
        </w:rPr>
        <w:t>,</w:t>
      </w:r>
      <w:r w:rsidRPr="008636E2">
        <w:rPr>
          <w:rFonts w:ascii="Open Sans" w:hAnsi="Open Sans"/>
          <w:sz w:val="20"/>
        </w:rPr>
        <w:t xml:space="preserve"> </w:t>
      </w:r>
      <w:proofErr w:type="spellStart"/>
      <w:r w:rsidR="00880279" w:rsidRPr="008636E2">
        <w:rPr>
          <w:rFonts w:ascii="Open Sans" w:hAnsi="Open Sans"/>
          <w:sz w:val="20"/>
        </w:rPr>
        <w:t>nonchè</w:t>
      </w:r>
      <w:proofErr w:type="spellEnd"/>
      <w:r w:rsidRPr="008636E2">
        <w:rPr>
          <w:rFonts w:ascii="Open Sans" w:hAnsi="Open Sans"/>
          <w:sz w:val="20"/>
        </w:rPr>
        <w:t xml:space="preserve"> la struttura semplice da riparare contribuiscono ad aumentar</w:t>
      </w:r>
      <w:r w:rsidR="00880279" w:rsidRPr="008636E2">
        <w:rPr>
          <w:rFonts w:ascii="Open Sans" w:hAnsi="Open Sans"/>
          <w:sz w:val="20"/>
        </w:rPr>
        <w:t>n</w:t>
      </w:r>
      <w:r w:rsidRPr="008636E2">
        <w:rPr>
          <w:rFonts w:ascii="Open Sans" w:hAnsi="Open Sans"/>
          <w:sz w:val="20"/>
        </w:rPr>
        <w:t xml:space="preserve">e la sostenibilità. Inoltre, è possibile sostituire in modo semplice i cavi di prolunga e le loro connessioni alla torcia, mentre i particolari soggetti ad usura della torcia LMR sono in gran parte identici a quelli delle torce LMS del settore della saldatura manuale. Grazie a questo accorgimento, si riducono le scorte dei </w:t>
      </w:r>
      <w:r w:rsidR="00880279" w:rsidRPr="008636E2">
        <w:rPr>
          <w:rFonts w:ascii="Open Sans" w:hAnsi="Open Sans"/>
          <w:sz w:val="20"/>
        </w:rPr>
        <w:t xml:space="preserve">ricambi </w:t>
      </w:r>
      <w:r w:rsidR="008636E2" w:rsidRPr="008636E2">
        <w:rPr>
          <w:rFonts w:ascii="Open Sans" w:hAnsi="Open Sans"/>
          <w:sz w:val="20"/>
        </w:rPr>
        <w:t xml:space="preserve">consumabili, </w:t>
      </w:r>
      <w:r w:rsidRPr="008636E2">
        <w:rPr>
          <w:rFonts w:ascii="Open Sans" w:hAnsi="Open Sans"/>
          <w:sz w:val="20"/>
        </w:rPr>
        <w:t>quando si utilizzano sia i sistemi robotizzati che gli impianti manuali all'interno dell'azienda.</w:t>
      </w:r>
    </w:p>
    <w:p w14:paraId="75D9D6D9" w14:textId="70AD6401" w:rsidR="00AB5B5F" w:rsidRPr="008636E2" w:rsidRDefault="00AB5B5F" w:rsidP="00AB5B5F">
      <w:pPr>
        <w:spacing w:after="240"/>
        <w:ind w:right="-1"/>
        <w:rPr>
          <w:rFonts w:ascii="Open Sans" w:eastAsia="Calibri" w:hAnsi="Open Sans" w:cs="Open Sans"/>
          <w:sz w:val="20"/>
        </w:rPr>
      </w:pPr>
      <w:r w:rsidRPr="008636E2">
        <w:rPr>
          <w:rFonts w:ascii="Open Sans" w:hAnsi="Open Sans"/>
          <w:sz w:val="20"/>
        </w:rPr>
        <w:t>Le torce LMR 2 sono disponibili in due versioni: TN 3 e TN 6. La torcia TN 3 è dotata di un</w:t>
      </w:r>
      <w:r w:rsidR="008636E2" w:rsidRPr="008636E2">
        <w:rPr>
          <w:rFonts w:ascii="Open Sans" w:hAnsi="Open Sans"/>
          <w:sz w:val="20"/>
        </w:rPr>
        <w:t xml:space="preserve"> corpo torcia</w:t>
      </w:r>
      <w:r w:rsidR="00880279" w:rsidRPr="008636E2">
        <w:rPr>
          <w:rFonts w:ascii="Open Sans" w:hAnsi="Open Sans"/>
          <w:sz w:val="20"/>
        </w:rPr>
        <w:t xml:space="preserve"> </w:t>
      </w:r>
      <w:r w:rsidRPr="008636E2">
        <w:rPr>
          <w:rFonts w:ascii="Open Sans" w:hAnsi="Open Sans"/>
          <w:sz w:val="20"/>
        </w:rPr>
        <w:t>lung</w:t>
      </w:r>
      <w:r w:rsidR="008636E2" w:rsidRPr="008636E2">
        <w:rPr>
          <w:rFonts w:ascii="Open Sans" w:hAnsi="Open Sans"/>
          <w:sz w:val="20"/>
        </w:rPr>
        <w:t>o</w:t>
      </w:r>
      <w:r w:rsidRPr="008636E2">
        <w:rPr>
          <w:rFonts w:ascii="Open Sans" w:hAnsi="Open Sans"/>
          <w:sz w:val="20"/>
        </w:rPr>
        <w:t xml:space="preserve"> ed è particolarmente adatta ai processi produttivi in cui è importante garantire la buona raggiungibilità dei cordoni di saldatura, come ad esempio nel caso della saldatura delle lamiere sottili nel settore automobilistico. TN 3 offre un intervallo di potenza compreso tra i 300 e i 450 ampere a seconda del tipo di raffreddamento ad acqua o a gas. TN 6 è una torcia di fascia alta dotata di un</w:t>
      </w:r>
      <w:r w:rsidR="008636E2" w:rsidRPr="008636E2">
        <w:rPr>
          <w:rFonts w:ascii="Open Sans" w:hAnsi="Open Sans"/>
          <w:sz w:val="20"/>
        </w:rPr>
        <w:t xml:space="preserve"> corpo torcia</w:t>
      </w:r>
      <w:r w:rsidR="00880279" w:rsidRPr="008636E2">
        <w:rPr>
          <w:rFonts w:ascii="Open Sans" w:hAnsi="Open Sans"/>
          <w:sz w:val="20"/>
        </w:rPr>
        <w:t xml:space="preserve"> </w:t>
      </w:r>
      <w:r w:rsidRPr="008636E2">
        <w:rPr>
          <w:rFonts w:ascii="Open Sans" w:hAnsi="Open Sans"/>
          <w:sz w:val="20"/>
        </w:rPr>
        <w:t>più cort</w:t>
      </w:r>
      <w:r w:rsidR="008636E2" w:rsidRPr="008636E2">
        <w:rPr>
          <w:rFonts w:ascii="Open Sans" w:hAnsi="Open Sans"/>
          <w:sz w:val="20"/>
        </w:rPr>
        <w:t>o</w:t>
      </w:r>
      <w:r w:rsidRPr="008636E2">
        <w:rPr>
          <w:rFonts w:ascii="Open Sans" w:hAnsi="Open Sans"/>
          <w:sz w:val="20"/>
        </w:rPr>
        <w:t xml:space="preserve"> ed è progettata per amperaggi superiori compresi tra i 300 e i 500 ampere. Sono complessivamente disponibili 16 diversi pacchetti come soluzioni complete a seconda della robotizzazione, dell'opzione dell'alimentazione del filo, del processo di raffreddamento e della variante di torcia. </w:t>
      </w:r>
    </w:p>
    <w:p w14:paraId="2546BA28" w14:textId="22C1A80C" w:rsidR="00AB5B5F" w:rsidRPr="008636E2" w:rsidRDefault="00814CC2" w:rsidP="00AB5B5F">
      <w:pPr>
        <w:spacing w:after="240"/>
        <w:ind w:right="-1"/>
        <w:rPr>
          <w:rFonts w:ascii="Open Sans" w:eastAsia="Calibri" w:hAnsi="Open Sans" w:cs="Open Sans"/>
          <w:sz w:val="20"/>
        </w:rPr>
      </w:pPr>
      <w:r w:rsidRPr="008636E2">
        <w:rPr>
          <w:rFonts w:ascii="Open Sans" w:hAnsi="Open Sans"/>
          <w:sz w:val="20"/>
        </w:rPr>
        <w:t>È possibile abbinare le torce LMR 2 a tutti i più comuni sistemi robotizzati e ai generatori di corrente S-</w:t>
      </w:r>
      <w:proofErr w:type="spellStart"/>
      <w:r w:rsidRPr="008636E2">
        <w:rPr>
          <w:rFonts w:ascii="Open Sans" w:hAnsi="Open Sans"/>
          <w:sz w:val="20"/>
        </w:rPr>
        <w:t>RoboMIG</w:t>
      </w:r>
      <w:proofErr w:type="spellEnd"/>
      <w:r w:rsidRPr="008636E2">
        <w:rPr>
          <w:rFonts w:ascii="Open Sans" w:hAnsi="Open Sans"/>
          <w:sz w:val="20"/>
        </w:rPr>
        <w:t xml:space="preserve"> XT e </w:t>
      </w:r>
      <w:proofErr w:type="spellStart"/>
      <w:r w:rsidRPr="008636E2">
        <w:rPr>
          <w:rFonts w:ascii="Open Sans" w:hAnsi="Open Sans"/>
          <w:sz w:val="20"/>
        </w:rPr>
        <w:t>Robo-MicorMIG</w:t>
      </w:r>
      <w:proofErr w:type="spellEnd"/>
      <w:r w:rsidRPr="008636E2">
        <w:rPr>
          <w:rFonts w:ascii="Open Sans" w:hAnsi="Open Sans"/>
          <w:sz w:val="20"/>
        </w:rPr>
        <w:t xml:space="preserve"> di Lorch. Utilizzando i generatori di corrente</w:t>
      </w:r>
      <w:r w:rsidR="00880279" w:rsidRPr="008636E2">
        <w:rPr>
          <w:rFonts w:ascii="Open Sans" w:hAnsi="Open Sans"/>
          <w:sz w:val="20"/>
        </w:rPr>
        <w:t xml:space="preserve"> LORCH</w:t>
      </w:r>
      <w:r w:rsidRPr="008636E2">
        <w:rPr>
          <w:rFonts w:ascii="Open Sans" w:hAnsi="Open Sans"/>
          <w:sz w:val="20"/>
        </w:rPr>
        <w:t xml:space="preserve">, la saldatura robotizzata può avvalersi anche dei processi di saldatura </w:t>
      </w:r>
      <w:proofErr w:type="spellStart"/>
      <w:r w:rsidRPr="008636E2">
        <w:rPr>
          <w:rFonts w:ascii="Open Sans" w:hAnsi="Open Sans"/>
          <w:sz w:val="20"/>
        </w:rPr>
        <w:t>SpeedPulse</w:t>
      </w:r>
      <w:proofErr w:type="spellEnd"/>
      <w:r w:rsidRPr="008636E2">
        <w:rPr>
          <w:rFonts w:ascii="Open Sans" w:hAnsi="Open Sans"/>
          <w:sz w:val="20"/>
        </w:rPr>
        <w:t xml:space="preserve"> XT, </w:t>
      </w:r>
      <w:proofErr w:type="spellStart"/>
      <w:r w:rsidRPr="008636E2">
        <w:rPr>
          <w:rFonts w:ascii="Open Sans" w:hAnsi="Open Sans"/>
          <w:sz w:val="20"/>
        </w:rPr>
        <w:t>TwinPuls</w:t>
      </w:r>
      <w:proofErr w:type="spellEnd"/>
      <w:r w:rsidRPr="008636E2">
        <w:rPr>
          <w:rFonts w:ascii="Open Sans" w:hAnsi="Open Sans"/>
          <w:sz w:val="20"/>
        </w:rPr>
        <w:t xml:space="preserve"> XT, </w:t>
      </w:r>
      <w:proofErr w:type="spellStart"/>
      <w:r w:rsidRPr="008636E2">
        <w:rPr>
          <w:rFonts w:ascii="Open Sans" w:hAnsi="Open Sans"/>
          <w:sz w:val="20"/>
        </w:rPr>
        <w:t>SpeedArc</w:t>
      </w:r>
      <w:proofErr w:type="spellEnd"/>
      <w:r w:rsidRPr="008636E2">
        <w:rPr>
          <w:rFonts w:ascii="Open Sans" w:hAnsi="Open Sans"/>
          <w:sz w:val="20"/>
        </w:rPr>
        <w:t xml:space="preserve">, </w:t>
      </w:r>
      <w:proofErr w:type="spellStart"/>
      <w:r w:rsidRPr="008636E2">
        <w:rPr>
          <w:rFonts w:ascii="Open Sans" w:hAnsi="Open Sans"/>
          <w:sz w:val="20"/>
        </w:rPr>
        <w:t>SpeedArc</w:t>
      </w:r>
      <w:proofErr w:type="spellEnd"/>
      <w:r w:rsidRPr="008636E2">
        <w:rPr>
          <w:rFonts w:ascii="Open Sans" w:hAnsi="Open Sans"/>
          <w:sz w:val="20"/>
        </w:rPr>
        <w:t xml:space="preserve"> XT, </w:t>
      </w:r>
      <w:proofErr w:type="spellStart"/>
      <w:r w:rsidRPr="008636E2">
        <w:rPr>
          <w:rFonts w:ascii="Open Sans" w:hAnsi="Open Sans"/>
          <w:sz w:val="20"/>
        </w:rPr>
        <w:t>Pulse</w:t>
      </w:r>
      <w:proofErr w:type="spellEnd"/>
      <w:r w:rsidRPr="008636E2">
        <w:rPr>
          <w:rFonts w:ascii="Open Sans" w:hAnsi="Open Sans"/>
          <w:sz w:val="20"/>
        </w:rPr>
        <w:t xml:space="preserve"> e </w:t>
      </w:r>
      <w:proofErr w:type="spellStart"/>
      <w:r w:rsidRPr="008636E2">
        <w:rPr>
          <w:rFonts w:ascii="Open Sans" w:hAnsi="Open Sans"/>
          <w:sz w:val="20"/>
        </w:rPr>
        <w:t>TwinPuls</w:t>
      </w:r>
      <w:proofErr w:type="spellEnd"/>
      <w:r w:rsidRPr="008636E2">
        <w:rPr>
          <w:rFonts w:ascii="Open Sans" w:hAnsi="Open Sans"/>
          <w:sz w:val="20"/>
        </w:rPr>
        <w:t xml:space="preserve"> di Lorch, che hanno ripetutamente dato prova delle loro </w:t>
      </w:r>
      <w:r w:rsidR="00880279" w:rsidRPr="008636E2">
        <w:rPr>
          <w:rFonts w:ascii="Open Sans" w:hAnsi="Open Sans"/>
          <w:sz w:val="20"/>
        </w:rPr>
        <w:t xml:space="preserve">performances </w:t>
      </w:r>
      <w:r w:rsidRPr="008636E2">
        <w:rPr>
          <w:rFonts w:ascii="Open Sans" w:hAnsi="Open Sans"/>
          <w:sz w:val="20"/>
        </w:rPr>
        <w:t xml:space="preserve">e sono molto richiesti. </w:t>
      </w:r>
    </w:p>
    <w:p w14:paraId="2F036DE2" w14:textId="3C35D8C8" w:rsidR="00D4155F" w:rsidRPr="008636E2" w:rsidRDefault="00AB5B5F" w:rsidP="00147BB7">
      <w:pPr>
        <w:spacing w:after="240"/>
        <w:ind w:right="-1"/>
        <w:rPr>
          <w:rFonts w:ascii="Open Sans" w:eastAsia="Calibri" w:hAnsi="Open Sans" w:cs="Open Sans"/>
          <w:sz w:val="20"/>
        </w:rPr>
      </w:pPr>
      <w:r w:rsidRPr="008636E2">
        <w:rPr>
          <w:rFonts w:ascii="Open Sans" w:hAnsi="Open Sans"/>
          <w:sz w:val="20"/>
        </w:rPr>
        <w:t xml:space="preserve">"Le torce LMR 2 di Lorch offrono ancora più potenza e un maggiore risparmio nel settore della saldatura robotizzata e sono sinonimo di alte prestazioni, precisione e lunga durata. Grazie agli altri componenti, è un unico fornitore ad offrire un pacchetto </w:t>
      </w:r>
      <w:r w:rsidR="008636E2" w:rsidRPr="008636E2">
        <w:rPr>
          <w:rFonts w:ascii="Open Sans" w:hAnsi="Open Sans"/>
          <w:sz w:val="20"/>
        </w:rPr>
        <w:t xml:space="preserve">completo per ogni tipo di robot </w:t>
      </w:r>
      <w:proofErr w:type="spellStart"/>
      <w:r w:rsidR="008636E2" w:rsidRPr="008636E2">
        <w:rPr>
          <w:rFonts w:ascii="Open Sans" w:hAnsi="Open Sans"/>
          <w:sz w:val="20"/>
        </w:rPr>
        <w:t>prente</w:t>
      </w:r>
      <w:proofErr w:type="spellEnd"/>
      <w:r w:rsidR="008636E2" w:rsidRPr="008636E2">
        <w:rPr>
          <w:rFonts w:ascii="Open Sans" w:hAnsi="Open Sans"/>
          <w:sz w:val="20"/>
        </w:rPr>
        <w:t xml:space="preserve"> sul mercato</w:t>
      </w:r>
      <w:r w:rsidRPr="008636E2">
        <w:rPr>
          <w:rFonts w:ascii="Open Sans" w:hAnsi="Open Sans"/>
          <w:sz w:val="20"/>
        </w:rPr>
        <w:t>. I componenti sono perfettamente a</w:t>
      </w:r>
      <w:r w:rsidR="008636E2" w:rsidRPr="008636E2">
        <w:rPr>
          <w:rFonts w:ascii="Open Sans" w:hAnsi="Open Sans"/>
          <w:sz w:val="20"/>
        </w:rPr>
        <w:t>rmonizzati</w:t>
      </w:r>
      <w:r w:rsidRPr="008636E2">
        <w:rPr>
          <w:rFonts w:ascii="Open Sans" w:hAnsi="Open Sans"/>
          <w:sz w:val="20"/>
        </w:rPr>
        <w:t xml:space="preserve"> tra loro</w:t>
      </w:r>
      <w:r w:rsidR="008636E2" w:rsidRPr="008636E2">
        <w:rPr>
          <w:rFonts w:ascii="Open Sans" w:hAnsi="Open Sans"/>
          <w:sz w:val="20"/>
        </w:rPr>
        <w:t xml:space="preserve"> e</w:t>
      </w:r>
      <w:r w:rsidRPr="008636E2">
        <w:rPr>
          <w:rFonts w:ascii="Open Sans" w:hAnsi="Open Sans"/>
          <w:sz w:val="20"/>
        </w:rPr>
        <w:t xml:space="preserve"> garantiscono risultati di saldatura ottimali per tutti i materiali</w:t>
      </w:r>
      <w:r w:rsidR="008636E2" w:rsidRPr="008636E2">
        <w:rPr>
          <w:rFonts w:ascii="Open Sans" w:hAnsi="Open Sans"/>
          <w:sz w:val="20"/>
        </w:rPr>
        <w:t xml:space="preserve">, </w:t>
      </w:r>
      <w:r w:rsidRPr="008636E2">
        <w:rPr>
          <w:rFonts w:ascii="Open Sans" w:hAnsi="Open Sans"/>
          <w:sz w:val="20"/>
        </w:rPr>
        <w:t xml:space="preserve">dalla saldatura di alluminio, acciaio o acciaio inox e sono disponibili per applicazioni in un'ampia gamma di settori industriali", ha dichiarato </w:t>
      </w:r>
      <w:proofErr w:type="spellStart"/>
      <w:r w:rsidRPr="008636E2">
        <w:rPr>
          <w:rFonts w:ascii="Open Sans" w:hAnsi="Open Sans"/>
          <w:sz w:val="20"/>
        </w:rPr>
        <w:t>Heiko</w:t>
      </w:r>
      <w:proofErr w:type="spellEnd"/>
      <w:r w:rsidRPr="008636E2">
        <w:rPr>
          <w:rFonts w:ascii="Open Sans" w:hAnsi="Open Sans"/>
          <w:sz w:val="20"/>
        </w:rPr>
        <w:t xml:space="preserve"> </w:t>
      </w:r>
      <w:proofErr w:type="spellStart"/>
      <w:r w:rsidRPr="008636E2">
        <w:rPr>
          <w:rFonts w:ascii="Open Sans" w:hAnsi="Open Sans"/>
          <w:sz w:val="20"/>
        </w:rPr>
        <w:t>Hedderoth</w:t>
      </w:r>
      <w:proofErr w:type="spellEnd"/>
      <w:r w:rsidRPr="008636E2">
        <w:rPr>
          <w:rFonts w:ascii="Open Sans" w:hAnsi="Open Sans"/>
          <w:sz w:val="20"/>
        </w:rPr>
        <w:t>, responsabile d</w:t>
      </w:r>
      <w:r w:rsidR="008636E2" w:rsidRPr="008636E2">
        <w:rPr>
          <w:rFonts w:ascii="Open Sans" w:hAnsi="Open Sans"/>
          <w:sz w:val="20"/>
        </w:rPr>
        <w:t>i questa linea di prodotto alla</w:t>
      </w:r>
      <w:r w:rsidRPr="008636E2">
        <w:rPr>
          <w:rFonts w:ascii="Open Sans" w:hAnsi="Open Sans"/>
          <w:sz w:val="20"/>
        </w:rPr>
        <w:t xml:space="preserve"> Lorch. </w:t>
      </w:r>
    </w:p>
    <w:p w14:paraId="075EF352" w14:textId="77777777" w:rsidR="00822B75" w:rsidRPr="008636E2" w:rsidRDefault="00822B75" w:rsidP="00147BB7">
      <w:pPr>
        <w:spacing w:after="240"/>
        <w:ind w:right="-1"/>
        <w:rPr>
          <w:rFonts w:ascii="Open Sans" w:eastAsia="Calibri" w:hAnsi="Open Sans" w:cs="Open Sans"/>
          <w:sz w:val="20"/>
        </w:rPr>
      </w:pPr>
    </w:p>
    <w:p w14:paraId="309B324F" w14:textId="0C1F7B67" w:rsidR="00951CDC" w:rsidRPr="008636E2" w:rsidRDefault="00951CDC" w:rsidP="00147BB7">
      <w:pPr>
        <w:spacing w:after="240"/>
        <w:ind w:right="-1"/>
        <w:rPr>
          <w:rFonts w:ascii="Verdana" w:hAnsi="Verdana"/>
          <w:i/>
          <w:sz w:val="20"/>
          <w:szCs w:val="20"/>
        </w:rPr>
      </w:pPr>
      <w:r w:rsidRPr="008636E2">
        <w:rPr>
          <w:rFonts w:ascii="Verdana" w:hAnsi="Verdana"/>
          <w:i/>
          <w:sz w:val="20"/>
        </w:rPr>
        <w:t>Lorch Schweißtechnik GmbH è un produttore leader degli impianti di saldatura ad arco elettrico per le applicazioni industriali, il complesso settore metalmeccanico e l'utilizzo nell'automazione con robot e sistemi robotizzati collaborativi. Inoltre, i sistemi formati da caschi</w:t>
      </w:r>
      <w:r w:rsidR="00930465" w:rsidRPr="008636E2">
        <w:rPr>
          <w:rFonts w:ascii="Verdana" w:hAnsi="Verdana"/>
          <w:i/>
          <w:sz w:val="20"/>
        </w:rPr>
        <w:t xml:space="preserve"> per </w:t>
      </w:r>
      <w:proofErr w:type="gramStart"/>
      <w:r w:rsidR="00930465" w:rsidRPr="008636E2">
        <w:rPr>
          <w:rFonts w:ascii="Verdana" w:hAnsi="Verdana"/>
          <w:i/>
          <w:sz w:val="20"/>
        </w:rPr>
        <w:t xml:space="preserve">saldatore </w:t>
      </w:r>
      <w:r w:rsidRPr="008636E2">
        <w:rPr>
          <w:rFonts w:ascii="Verdana" w:hAnsi="Verdana"/>
          <w:i/>
          <w:sz w:val="20"/>
        </w:rPr>
        <w:t xml:space="preserve"> e</w:t>
      </w:r>
      <w:proofErr w:type="gramEnd"/>
      <w:r w:rsidRPr="008636E2">
        <w:rPr>
          <w:rFonts w:ascii="Verdana" w:hAnsi="Verdana"/>
          <w:i/>
          <w:sz w:val="20"/>
        </w:rPr>
        <w:t xml:space="preserve"> torce sviluppati in modo autonomo da Lorch assicurano risultati di saldatura ottimali.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p>
    <w:p w14:paraId="2EDD267D" w14:textId="77777777" w:rsidR="00DC43AE" w:rsidRPr="008636E2" w:rsidRDefault="00DC43AE" w:rsidP="00147BB7">
      <w:pPr>
        <w:spacing w:after="240"/>
        <w:ind w:right="-1"/>
        <w:rPr>
          <w:rFonts w:ascii="Open Sans" w:eastAsia="Calibri" w:hAnsi="Open Sans" w:cs="Open Sans"/>
          <w:sz w:val="20"/>
        </w:rPr>
      </w:pPr>
    </w:p>
    <w:p w14:paraId="47C8333C" w14:textId="5D527693" w:rsidR="00ED7245" w:rsidRPr="008636E2" w:rsidRDefault="00DC43AE" w:rsidP="00ED7245">
      <w:r w:rsidRPr="008636E2">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Pr="008636E2" w:rsidRDefault="00ED7245" w:rsidP="00ED7245">
      <w:r w:rsidRPr="008636E2">
        <w:t>Fig.1 – Massima produttività e risparmio di risorse allo stesso tempo: la nuova torcia LMR 2 di Lorch Schweißtechnik</w:t>
      </w:r>
    </w:p>
    <w:p w14:paraId="7FD8D4ED" w14:textId="394A3D2F" w:rsidR="005E0488" w:rsidRPr="008636E2" w:rsidRDefault="005E0488" w:rsidP="00ED7245"/>
    <w:p w14:paraId="5142AF8D" w14:textId="77777777" w:rsidR="0045296C" w:rsidRPr="008636E2" w:rsidRDefault="0045296C" w:rsidP="00ED7245"/>
    <w:p w14:paraId="194D9CEA" w14:textId="77777777" w:rsidR="00822B75" w:rsidRPr="008636E2" w:rsidRDefault="00822B75" w:rsidP="00ED7245"/>
    <w:p w14:paraId="49D75E9D" w14:textId="4ED32EFF" w:rsidR="00822B75" w:rsidRPr="008636E2" w:rsidRDefault="00DC43AE" w:rsidP="00ED7245">
      <w:r w:rsidRPr="008636E2">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2D76F84E" w:rsidR="005E0488" w:rsidRPr="008636E2" w:rsidRDefault="007E6068" w:rsidP="00ED7245">
      <w:r w:rsidRPr="008636E2">
        <w:t xml:space="preserve">Fig.2 – </w:t>
      </w:r>
      <w:proofErr w:type="spellStart"/>
      <w:r w:rsidRPr="008636E2">
        <w:t>Yaskawa</w:t>
      </w:r>
      <w:proofErr w:type="spellEnd"/>
      <w:r w:rsidRPr="008636E2">
        <w:t xml:space="preserve">, </w:t>
      </w:r>
      <w:proofErr w:type="spellStart"/>
      <w:r w:rsidRPr="008636E2">
        <w:t>Kuka</w:t>
      </w:r>
      <w:proofErr w:type="spellEnd"/>
      <w:r w:rsidR="008636E2" w:rsidRPr="008636E2">
        <w:t xml:space="preserve">, </w:t>
      </w:r>
      <w:proofErr w:type="spellStart"/>
      <w:r w:rsidR="008636E2" w:rsidRPr="008636E2">
        <w:t>Fanuc</w:t>
      </w:r>
      <w:proofErr w:type="spellEnd"/>
      <w:r w:rsidRPr="008636E2">
        <w:t xml:space="preserve"> o altri produttori: compatibilità con tutti i più comuni impianti robotizzati sempre garantita grazie alla nuova torcia e ai pacchetti completi di Lorch</w:t>
      </w:r>
    </w:p>
    <w:p w14:paraId="48F0109E" w14:textId="77777777" w:rsidR="00DC43AE" w:rsidRPr="008636E2" w:rsidRDefault="00DC43AE" w:rsidP="00ED7245"/>
    <w:p w14:paraId="32B18EB1" w14:textId="6854382F" w:rsidR="00DC43AE" w:rsidRPr="008636E2" w:rsidRDefault="00B56193" w:rsidP="0093171E">
      <w:r w:rsidRPr="008636E2">
        <w:rPr>
          <w:rFonts w:ascii="Open Sans" w:hAnsi="Open Sans"/>
          <w:b/>
          <w:noProof/>
          <w:sz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14CE58EA" w:rsidR="0093171E" w:rsidRPr="008636E2" w:rsidRDefault="0093171E" w:rsidP="0093171E">
      <w:r w:rsidRPr="008636E2">
        <w:t xml:space="preserve">Fig.3 – Raffinato impianto di raffreddamento a protezione della torcia contro il surriscaldamento e </w:t>
      </w:r>
      <w:r w:rsidR="008636E2" w:rsidRPr="008636E2">
        <w:t>con</w:t>
      </w:r>
      <w:r w:rsidRPr="008636E2">
        <w:t xml:space="preserve"> riduzione del consumo dei particolari soggetti ad usura</w:t>
      </w:r>
    </w:p>
    <w:p w14:paraId="43694F7C" w14:textId="25625008" w:rsidR="003B1E90" w:rsidRPr="008636E2" w:rsidRDefault="003B1E90" w:rsidP="00857A7E">
      <w:pPr>
        <w:ind w:right="-1"/>
        <w:rPr>
          <w:rFonts w:ascii="Open Sans" w:hAnsi="Open Sans" w:cs="Open Sans"/>
          <w:b/>
          <w:sz w:val="20"/>
          <w:szCs w:val="20"/>
        </w:rPr>
      </w:pPr>
    </w:p>
    <w:p w14:paraId="0FB24E02" w14:textId="170C02D8" w:rsidR="00DD7C71" w:rsidRPr="008636E2" w:rsidRDefault="00DD7C71" w:rsidP="00857A7E">
      <w:pPr>
        <w:ind w:right="-1"/>
        <w:rPr>
          <w:rFonts w:ascii="Open Sans" w:hAnsi="Open Sans" w:cs="Open Sans"/>
          <w:b/>
          <w:sz w:val="20"/>
          <w:szCs w:val="20"/>
        </w:rPr>
      </w:pPr>
    </w:p>
    <w:p w14:paraId="42D5D95B" w14:textId="21FCD965" w:rsidR="00DD7C71" w:rsidRPr="008636E2" w:rsidRDefault="00DD7C71" w:rsidP="00857A7E">
      <w:pPr>
        <w:ind w:right="-1"/>
        <w:rPr>
          <w:rFonts w:ascii="Open Sans" w:hAnsi="Open Sans" w:cs="Open Sans"/>
          <w:b/>
          <w:sz w:val="20"/>
          <w:szCs w:val="20"/>
        </w:rPr>
      </w:pPr>
    </w:p>
    <w:p w14:paraId="7C2CC982" w14:textId="78654A2D" w:rsidR="00DD7C71" w:rsidRPr="008636E2" w:rsidRDefault="00DD7C71" w:rsidP="00857A7E">
      <w:pPr>
        <w:ind w:right="-1"/>
        <w:rPr>
          <w:rFonts w:ascii="Open Sans" w:hAnsi="Open Sans" w:cs="Open Sans"/>
          <w:b/>
          <w:sz w:val="20"/>
          <w:szCs w:val="20"/>
        </w:rPr>
      </w:pPr>
    </w:p>
    <w:p w14:paraId="60DB8965" w14:textId="77777777" w:rsidR="00DD7C71" w:rsidRPr="008636E2" w:rsidRDefault="00DD7C71" w:rsidP="00857A7E">
      <w:pPr>
        <w:ind w:right="-1"/>
        <w:rPr>
          <w:rFonts w:ascii="Open Sans" w:hAnsi="Open Sans" w:cs="Open Sans"/>
          <w:b/>
          <w:sz w:val="20"/>
          <w:szCs w:val="20"/>
        </w:rPr>
      </w:pPr>
    </w:p>
    <w:p w14:paraId="15214072" w14:textId="77777777" w:rsidR="003B1E90" w:rsidRPr="008636E2" w:rsidRDefault="003B1E90" w:rsidP="00857A7E">
      <w:pPr>
        <w:ind w:right="-1"/>
        <w:rPr>
          <w:rFonts w:ascii="Open Sans" w:hAnsi="Open Sans" w:cs="Open Sans"/>
          <w:b/>
          <w:sz w:val="20"/>
          <w:szCs w:val="20"/>
        </w:rPr>
      </w:pPr>
    </w:p>
    <w:p w14:paraId="124415D2" w14:textId="6A1A7C59" w:rsidR="007C6924" w:rsidRPr="008636E2" w:rsidRDefault="007C6924" w:rsidP="00857A7E">
      <w:pPr>
        <w:ind w:right="-1"/>
        <w:rPr>
          <w:rFonts w:ascii="Open Sans" w:hAnsi="Open Sans" w:cs="Open Sans"/>
          <w:b/>
          <w:sz w:val="20"/>
          <w:szCs w:val="20"/>
          <w:lang w:val="de-DE"/>
        </w:rPr>
      </w:pPr>
      <w:proofErr w:type="spellStart"/>
      <w:r w:rsidRPr="008636E2">
        <w:rPr>
          <w:rFonts w:ascii="Open Sans" w:hAnsi="Open Sans"/>
          <w:b/>
          <w:sz w:val="20"/>
          <w:lang w:val="de-DE"/>
        </w:rPr>
        <w:t>Contatto</w:t>
      </w:r>
      <w:proofErr w:type="spellEnd"/>
      <w:r w:rsidRPr="008636E2">
        <w:rPr>
          <w:rFonts w:ascii="Open Sans" w:hAnsi="Open Sans"/>
          <w:b/>
          <w:sz w:val="20"/>
          <w:lang w:val="de-DE"/>
        </w:rPr>
        <w:t xml:space="preserve"> </w:t>
      </w:r>
      <w:proofErr w:type="spellStart"/>
      <w:r w:rsidRPr="008636E2">
        <w:rPr>
          <w:rFonts w:ascii="Open Sans" w:hAnsi="Open Sans"/>
          <w:b/>
          <w:sz w:val="20"/>
          <w:lang w:val="de-DE"/>
        </w:rPr>
        <w:t>stampa</w:t>
      </w:r>
      <w:proofErr w:type="spellEnd"/>
      <w:r w:rsidRPr="008636E2">
        <w:rPr>
          <w:rFonts w:ascii="Open Sans" w:hAnsi="Open Sans"/>
          <w:b/>
          <w:sz w:val="20"/>
          <w:lang w:val="de-DE"/>
        </w:rPr>
        <w:t xml:space="preserve"> </w:t>
      </w:r>
    </w:p>
    <w:p w14:paraId="5905C5B8" w14:textId="77777777" w:rsidR="007C6924"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8636E2">
        <w:rPr>
          <w:rFonts w:ascii="Open Sans" w:hAnsi="Open Sans"/>
          <w:color w:val="auto"/>
          <w:sz w:val="20"/>
          <w:lang w:val="de-DE"/>
        </w:rPr>
        <w:t>Lorch Schweißtechnik GmbH</w:t>
      </w:r>
      <w:r w:rsidRPr="008636E2">
        <w:rPr>
          <w:rFonts w:ascii="Open Sans" w:hAnsi="Open Sans"/>
          <w:color w:val="auto"/>
          <w:sz w:val="20"/>
          <w:lang w:val="de-DE"/>
        </w:rPr>
        <w:br/>
        <w:t xml:space="preserve">Lisa Michler </w:t>
      </w:r>
      <w:r w:rsidRPr="008636E2">
        <w:rPr>
          <w:rFonts w:ascii="Open Sans" w:hAnsi="Open Sans"/>
          <w:color w:val="auto"/>
          <w:sz w:val="20"/>
          <w:lang w:val="de-DE"/>
        </w:rPr>
        <w:br/>
        <w:t xml:space="preserve">Im </w:t>
      </w:r>
      <w:proofErr w:type="spellStart"/>
      <w:r w:rsidRPr="008636E2">
        <w:rPr>
          <w:rFonts w:ascii="Open Sans" w:hAnsi="Open Sans"/>
          <w:color w:val="auto"/>
          <w:sz w:val="20"/>
          <w:lang w:val="de-DE"/>
        </w:rPr>
        <w:t>Anwänder</w:t>
      </w:r>
      <w:proofErr w:type="spellEnd"/>
      <w:r w:rsidRPr="008636E2">
        <w:rPr>
          <w:rFonts w:ascii="Open Sans" w:hAnsi="Open Sans"/>
          <w:color w:val="auto"/>
          <w:sz w:val="20"/>
          <w:lang w:val="de-DE"/>
        </w:rPr>
        <w:t xml:space="preserve"> 24-26</w:t>
      </w:r>
      <w:r w:rsidRPr="008636E2">
        <w:rPr>
          <w:rFonts w:ascii="Open Sans" w:hAnsi="Open Sans"/>
          <w:color w:val="auto"/>
          <w:sz w:val="20"/>
          <w:lang w:val="de-DE"/>
        </w:rPr>
        <w:br/>
        <w:t>71549 Auenwald</w:t>
      </w:r>
    </w:p>
    <w:p w14:paraId="1FF0250B" w14:textId="7935A435" w:rsidR="007C6924"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8636E2">
        <w:rPr>
          <w:rFonts w:ascii="Open Sans" w:hAnsi="Open Sans"/>
          <w:color w:val="auto"/>
          <w:sz w:val="20"/>
          <w:lang w:val="en-GB"/>
        </w:rPr>
        <w:t>Germany / Germania</w:t>
      </w:r>
      <w:r w:rsidRPr="008636E2">
        <w:rPr>
          <w:rFonts w:ascii="Open Sans" w:hAnsi="Open Sans"/>
          <w:color w:val="auto"/>
          <w:sz w:val="20"/>
          <w:lang w:val="en-GB"/>
        </w:rPr>
        <w:br/>
      </w:r>
    </w:p>
    <w:p w14:paraId="5AC9E85E" w14:textId="507AF5E4" w:rsidR="007C6924" w:rsidRPr="008636E2"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hyperlink r:id="rId14" w:history="1">
        <w:r w:rsidR="00A76691" w:rsidRPr="008636E2">
          <w:rPr>
            <w:rStyle w:val="Hyperlink"/>
            <w:rFonts w:ascii="Open Sans" w:hAnsi="Open Sans"/>
            <w:color w:val="auto"/>
            <w:sz w:val="20"/>
            <w:lang w:val="en-GB"/>
          </w:rPr>
          <w:t>presse@lorch.eu</w:t>
        </w:r>
      </w:hyperlink>
    </w:p>
    <w:p w14:paraId="5736E1E2" w14:textId="5F7CBADC" w:rsidR="00511E32"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8636E2">
        <w:rPr>
          <w:rFonts w:ascii="Open Sans" w:hAnsi="Open Sans"/>
          <w:color w:val="auto"/>
          <w:sz w:val="20"/>
          <w:lang w:val="en-GB"/>
        </w:rPr>
        <w:t>Tel. +49 7191 503-0</w:t>
      </w:r>
    </w:p>
    <w:p w14:paraId="62BD089C" w14:textId="48B15C83" w:rsidR="00D43A07" w:rsidRPr="008636E2"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8636E2">
        <w:rPr>
          <w:rFonts w:ascii="Open Sans" w:hAnsi="Open Sans"/>
          <w:i/>
          <w:color w:val="auto"/>
          <w:sz w:val="20"/>
        </w:rPr>
        <w:t xml:space="preserve">La ristampa è consentita senza vincoli. È richiesta una copia giustificativa.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C727A" w14:textId="77777777" w:rsidR="00913E01" w:rsidRDefault="00913E01" w:rsidP="0081148E">
      <w:pPr>
        <w:spacing w:after="0" w:line="240" w:lineRule="auto"/>
      </w:pPr>
      <w:r>
        <w:separator/>
      </w:r>
    </w:p>
  </w:endnote>
  <w:endnote w:type="continuationSeparator" w:id="0">
    <w:p w14:paraId="3B2B016D" w14:textId="77777777" w:rsidR="00913E01" w:rsidRDefault="00913E01"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19483" w14:textId="77777777" w:rsidR="00913E01" w:rsidRDefault="00913E01" w:rsidP="0081148E">
      <w:pPr>
        <w:spacing w:after="0" w:line="240" w:lineRule="auto"/>
      </w:pPr>
      <w:r>
        <w:separator/>
      </w:r>
    </w:p>
  </w:footnote>
  <w:footnote w:type="continuationSeparator" w:id="0">
    <w:p w14:paraId="27F72A6D" w14:textId="77777777" w:rsidR="00913E01" w:rsidRDefault="00913E01"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D649B27"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BD7961">
      <w:rPr>
        <w:rFonts w:ascii="Open Sans" w:hAnsi="Open Sans"/>
        <w:color w:val="000000"/>
        <w:sz w:val="20"/>
      </w:rPr>
      <w:t>01</w:t>
    </w:r>
    <w:r>
      <w:rPr>
        <w:rFonts w:ascii="Open Sans" w:hAnsi="Open Sans"/>
        <w:color w:val="000000"/>
        <w:sz w:val="20"/>
      </w:rPr>
      <w:t>/0</w:t>
    </w:r>
    <w:r w:rsidR="00BD7961">
      <w:rPr>
        <w:rFonts w:ascii="Open Sans" w:hAnsi="Open Sans"/>
        <w:color w:val="000000"/>
        <w:sz w:val="20"/>
      </w:rPr>
      <w:t>6</w:t>
    </w:r>
    <w:r>
      <w:rPr>
        <w:rFonts w:ascii="Open Sans" w:hAnsi="Open Sans"/>
        <w:color w:val="000000"/>
        <w:sz w:val="20"/>
      </w:rPr>
      <w:t>/23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478A0"/>
    <w:rsid w:val="00053179"/>
    <w:rsid w:val="000538D3"/>
    <w:rsid w:val="00054302"/>
    <w:rsid w:val="00057D12"/>
    <w:rsid w:val="0006190F"/>
    <w:rsid w:val="00062E6B"/>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D33FB"/>
    <w:rsid w:val="000E0084"/>
    <w:rsid w:val="000E4494"/>
    <w:rsid w:val="000E77E3"/>
    <w:rsid w:val="000F061A"/>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3057"/>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6E2"/>
    <w:rsid w:val="008638F9"/>
    <w:rsid w:val="00863DD5"/>
    <w:rsid w:val="0086595B"/>
    <w:rsid w:val="00866CE6"/>
    <w:rsid w:val="00870B06"/>
    <w:rsid w:val="00871520"/>
    <w:rsid w:val="00880279"/>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13E01"/>
    <w:rsid w:val="00924A5B"/>
    <w:rsid w:val="009257E1"/>
    <w:rsid w:val="00930465"/>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2E9"/>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D7961"/>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C7693"/>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8708BF-964A-4527-B4C8-3FD30AC61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6198</Characters>
  <Application>Microsoft Office Word</Application>
  <DocSecurity>0</DocSecurity>
  <Lines>51</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3</cp:revision>
  <cp:lastPrinted>2023-05-03T10:17:00Z</cp:lastPrinted>
  <dcterms:created xsi:type="dcterms:W3CDTF">2023-06-01T08:01:00Z</dcterms:created>
  <dcterms:modified xsi:type="dcterms:W3CDTF">2023-06-01T09:33:00Z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