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E09A8" w14:textId="7F768D70" w:rsidR="004C7BB5" w:rsidRPr="008E5D51" w:rsidRDefault="00563F1E" w:rsidP="008E5D51">
      <w:pPr>
        <w:spacing w:after="240"/>
        <w:ind w:right="-1"/>
        <w:rPr>
          <w:rFonts w:ascii="Proxima Nova Light" w:eastAsiaTheme="minorHAnsi" w:hAnsi="Proxima Nova Light" w:cs="Open Sans"/>
          <w:szCs w:val="18"/>
        </w:rPr>
      </w:pPr>
      <w:r>
        <w:rPr>
          <w:rFonts w:ascii="Proxima Nova Light" w:hAnsi="Proxima Nova Light"/>
        </w:rPr>
        <w:t>Utilizzo intelligente,</w:t>
      </w:r>
      <w:r w:rsidR="00132B71">
        <w:rPr>
          <w:rFonts w:ascii="Proxima Nova Light" w:hAnsi="Proxima Nova Light"/>
        </w:rPr>
        <w:t xml:space="preserve"> </w:t>
      </w:r>
      <w:proofErr w:type="spellStart"/>
      <w:r w:rsidR="00132B71">
        <w:rPr>
          <w:rFonts w:ascii="Proxima Nova Light" w:hAnsi="Proxima Nova Light"/>
        </w:rPr>
        <w:t>conessione</w:t>
      </w:r>
      <w:proofErr w:type="spellEnd"/>
      <w:r w:rsidR="00132B71">
        <w:rPr>
          <w:rFonts w:ascii="Proxima Nova Light" w:hAnsi="Proxima Nova Light"/>
        </w:rPr>
        <w:t xml:space="preserve"> </w:t>
      </w:r>
      <w:r>
        <w:rPr>
          <w:rFonts w:ascii="Proxima Nova Light" w:hAnsi="Proxima Nova Light"/>
        </w:rPr>
        <w:t>rapida della torcia,  tecnologia</w:t>
      </w:r>
      <w:r w:rsidR="00132B71">
        <w:rPr>
          <w:rFonts w:ascii="Proxima Nova Light" w:hAnsi="Proxima Nova Light"/>
        </w:rPr>
        <w:t xml:space="preserve"> avanzata</w:t>
      </w:r>
    </w:p>
    <w:p w14:paraId="66E77462" w14:textId="6C5C4A74" w:rsidR="008E5D51" w:rsidRPr="008E5D51" w:rsidRDefault="0038502E" w:rsidP="008E5D51">
      <w:pPr>
        <w:spacing w:after="240" w:line="240" w:lineRule="auto"/>
        <w:ind w:right="-1"/>
        <w:rPr>
          <w:rFonts w:ascii="Proxima Nova" w:eastAsia="Calibri" w:hAnsi="Proxima Nova" w:cs="Open Sans"/>
          <w:sz w:val="32"/>
          <w:szCs w:val="32"/>
        </w:rPr>
      </w:pPr>
      <w:r>
        <w:rPr>
          <w:rFonts w:ascii="Proxima Nova" w:hAnsi="Proxima Nova"/>
          <w:sz w:val="32"/>
        </w:rPr>
        <w:t>Tutto sotto controllo con la nuova torcia iQ-LMS Performance di Lorch</w:t>
      </w:r>
    </w:p>
    <w:p w14:paraId="445E488C" w14:textId="3523CE32" w:rsidR="00CE7E3F" w:rsidRPr="00583A48" w:rsidRDefault="008B0F7C" w:rsidP="00F71987">
      <w:pPr>
        <w:spacing w:after="240"/>
        <w:ind w:right="-1"/>
        <w:rPr>
          <w:rFonts w:ascii="Open Sans" w:eastAsia="Calibri" w:hAnsi="Open Sans" w:cs="Open Sans"/>
          <w:i/>
          <w:sz w:val="20"/>
          <w:szCs w:val="20"/>
        </w:rPr>
      </w:pPr>
      <w:r>
        <w:rPr>
          <w:rFonts w:ascii="Open Sans" w:hAnsi="Open Sans"/>
          <w:i/>
          <w:sz w:val="20"/>
        </w:rPr>
        <w:t xml:space="preserve">Insieme alla nuova piattaforma inverter </w:t>
      </w:r>
      <w:proofErr w:type="spellStart"/>
      <w:r>
        <w:rPr>
          <w:rFonts w:ascii="Open Sans" w:hAnsi="Open Sans"/>
          <w:i/>
          <w:sz w:val="20"/>
        </w:rPr>
        <w:t>iQS</w:t>
      </w:r>
      <w:proofErr w:type="spellEnd"/>
      <w:r>
        <w:rPr>
          <w:rFonts w:ascii="Open Sans" w:hAnsi="Open Sans"/>
          <w:i/>
          <w:sz w:val="20"/>
        </w:rPr>
        <w:t>, Lorch presenta alla fiera internazionale “</w:t>
      </w:r>
      <w:proofErr w:type="spellStart"/>
      <w:r>
        <w:rPr>
          <w:rFonts w:ascii="Open Sans" w:hAnsi="Open Sans"/>
          <w:i/>
          <w:sz w:val="20"/>
        </w:rPr>
        <w:t>Schweissen</w:t>
      </w:r>
      <w:proofErr w:type="spellEnd"/>
      <w:r>
        <w:rPr>
          <w:rFonts w:ascii="Open Sans" w:hAnsi="Open Sans"/>
          <w:i/>
          <w:sz w:val="20"/>
        </w:rPr>
        <w:t xml:space="preserve"> &amp; </w:t>
      </w:r>
      <w:proofErr w:type="spellStart"/>
      <w:r>
        <w:rPr>
          <w:rFonts w:ascii="Open Sans" w:hAnsi="Open Sans"/>
          <w:i/>
          <w:sz w:val="20"/>
        </w:rPr>
        <w:t>Schneiden</w:t>
      </w:r>
      <w:proofErr w:type="spellEnd"/>
      <w:r>
        <w:rPr>
          <w:rFonts w:ascii="Open Sans" w:hAnsi="Open Sans"/>
          <w:i/>
          <w:sz w:val="20"/>
        </w:rPr>
        <w:t>” (dall’11 al 15 settembre, fiera di Essen) una nuova generazione di torce LMS Performance che, ancora una volta, semplificano notevolmente la saldatura manuale. Dotate di un display a colori di eccellente qualità, un LED aggiuntivo per la postazione di lavoro e abbinate a un nuovo e innovativo collegamento della torcia al generatore di corrente, garantiscono il migliore controllo, il massimo comfort e prestazioni di saldatura perfette.</w:t>
      </w:r>
    </w:p>
    <w:p w14:paraId="20E17092" w14:textId="39AA2BFB" w:rsidR="00DC7C8F" w:rsidRDefault="0038502E" w:rsidP="00DC7C8F">
      <w:pPr>
        <w:autoSpaceDE w:val="0"/>
        <w:autoSpaceDN w:val="0"/>
        <w:rPr>
          <w:rFonts w:ascii="Open Sans" w:eastAsia="Calibri" w:hAnsi="Open Sans" w:cs="Open Sans"/>
          <w:sz w:val="20"/>
        </w:rPr>
      </w:pPr>
      <w:r>
        <w:rPr>
          <w:rFonts w:ascii="Open Sans" w:hAnsi="Open Sans"/>
          <w:sz w:val="20"/>
        </w:rPr>
        <w:t xml:space="preserve">“Tutto sotto controllo”: con la nuova torcia iQS ad elevate prestazioni sviluppata da Lorch nella versione </w:t>
      </w:r>
      <w:proofErr w:type="spellStart"/>
      <w:r>
        <w:rPr>
          <w:rFonts w:ascii="Open Sans" w:hAnsi="Open Sans"/>
          <w:sz w:val="20"/>
        </w:rPr>
        <w:t>Powermaster</w:t>
      </w:r>
      <w:proofErr w:type="spellEnd"/>
      <w:r>
        <w:rPr>
          <w:rFonts w:ascii="Open Sans" w:hAnsi="Open Sans"/>
          <w:sz w:val="20"/>
        </w:rPr>
        <w:t xml:space="preserve"> è possibile gestire completamente </w:t>
      </w:r>
      <w:proofErr w:type="gramStart"/>
      <w:r>
        <w:rPr>
          <w:rFonts w:ascii="Open Sans" w:hAnsi="Open Sans"/>
          <w:sz w:val="20"/>
        </w:rPr>
        <w:t xml:space="preserve">i </w:t>
      </w:r>
      <w:r w:rsidR="00E46350">
        <w:rPr>
          <w:rFonts w:ascii="Open Sans" w:hAnsi="Open Sans"/>
          <w:sz w:val="20"/>
        </w:rPr>
        <w:t xml:space="preserve"> programmi</w:t>
      </w:r>
      <w:proofErr w:type="gramEnd"/>
      <w:r w:rsidR="00E46350">
        <w:rPr>
          <w:rFonts w:ascii="Open Sans" w:hAnsi="Open Sans"/>
          <w:sz w:val="20"/>
        </w:rPr>
        <w:t xml:space="preserve"> </w:t>
      </w:r>
      <w:r>
        <w:rPr>
          <w:rFonts w:ascii="Open Sans" w:hAnsi="Open Sans"/>
          <w:sz w:val="20"/>
        </w:rPr>
        <w:t xml:space="preserve"> di saldatura in loco e in modalità manuale. Il comando a distanza della torcia consente di svolgere con facilità anche le operazioni di saldatura più complesse e di risparmiare tempo evitando di percorrere il tragitto che separa macchinario e pezzo in lavorazione. Dotato di un nuovo display a colori di alta qualità tramite il quale è possibile selezionare tutti i parametri principali e secondari, regolare la dinamica, cambiare la modalità e visualizzare i menù di accesso rapido direttamente sulla torcia, il dispositivo offre il massimo controllo e comfort. Il LED integrato nella calotta della torcia si rivela particolarmente utile perché permette di avere l’illuminazione ideale anche in caso di operazioni di saldatura negli ambienti bui.</w:t>
      </w:r>
    </w:p>
    <w:p w14:paraId="1451D01A" w14:textId="50661187" w:rsidR="00C363C9" w:rsidRPr="00BA59F9" w:rsidRDefault="001709C7" w:rsidP="00C363C9">
      <w:pPr>
        <w:autoSpaceDE w:val="0"/>
        <w:autoSpaceDN w:val="0"/>
        <w:rPr>
          <w:rFonts w:ascii="Open Sans" w:eastAsia="Calibri" w:hAnsi="Open Sans" w:cs="Open Sans"/>
          <w:color w:val="000000" w:themeColor="text1"/>
          <w:sz w:val="20"/>
        </w:rPr>
      </w:pPr>
      <w:r>
        <w:rPr>
          <w:rFonts w:ascii="Open Sans" w:hAnsi="Open Sans"/>
          <w:color w:val="000000" w:themeColor="text1"/>
          <w:sz w:val="20"/>
        </w:rPr>
        <w:t xml:space="preserve">Un’ulteriore innovazione all’avanguardia è il nuovo attacco centralizzato, sviluppato da Loch e installato per la prima volta sui nuovi impianti iQS, che consente un attacco e uno sgancio rapido ed estremamente confortevole della torcia al generatore. Il connettore torcia viene inserito nell’attacco centralizzato, si blocca in automatico e viene sganciato con la semplice pressione di un pulsante. </w:t>
      </w:r>
      <w:r>
        <w:rPr>
          <w:rFonts w:ascii="Open Sans" w:hAnsi="Open Sans"/>
          <w:color w:val="000000" w:themeColor="text1"/>
          <w:sz w:val="20"/>
        </w:rPr>
        <w:br/>
        <w:t xml:space="preserve">Di seguito riassumiamo gli ulteriori vantaggi del nuovo attacco centralizzato. Grazie all’aggancio diretto tra l’unità d’avanzamento e le guaine </w:t>
      </w:r>
      <w:r w:rsidR="0079300E">
        <w:rPr>
          <w:rFonts w:ascii="Open Sans" w:hAnsi="Open Sans"/>
          <w:color w:val="000000" w:themeColor="text1"/>
          <w:sz w:val="20"/>
        </w:rPr>
        <w:t xml:space="preserve">guidafilo </w:t>
      </w:r>
      <w:r>
        <w:rPr>
          <w:rFonts w:ascii="Open Sans" w:hAnsi="Open Sans"/>
          <w:color w:val="000000" w:themeColor="text1"/>
          <w:sz w:val="20"/>
        </w:rPr>
        <w:t xml:space="preserve">della torcia non sono più necessarie regolazioni tra singolo generatore di corrente e liner quando si cambia la torcia, né manutenzione. </w:t>
      </w:r>
      <w:r>
        <w:rPr>
          <w:rFonts w:ascii="Open Sans" w:hAnsi="Open Sans"/>
          <w:sz w:val="20"/>
        </w:rPr>
        <w:t>Il contatto a lamelle utilizzato garantisce un passaggio della corrente ad alta efficienza e sicuro fino a 600 Ampere.</w:t>
      </w:r>
      <w:r>
        <w:rPr>
          <w:rFonts w:ascii="Open Sans" w:hAnsi="Open Sans"/>
          <w:color w:val="000000" w:themeColor="text1"/>
          <w:sz w:val="20"/>
        </w:rPr>
        <w:t xml:space="preserve"> Un’identificazione intelligente della torcia e un </w:t>
      </w:r>
      <w:r>
        <w:rPr>
          <w:rFonts w:ascii="Open Sans" w:hAnsi="Open Sans"/>
          <w:color w:val="000000" w:themeColor="text1"/>
          <w:sz w:val="20"/>
        </w:rPr>
        <w:lastRenderedPageBreak/>
        <w:t xml:space="preserve">nuovo e solido protocollo CAN-Bus, che assicura un utilizzo preciso del dispositivo e rende possibile in qualsiasi momento l’aggiornamento del relativo software tramite l’impianto di saldatura iQS, completano il profilo della torcia a elevate prestazioni e la rendono pronta per il futuro della saldatura industriale.  </w:t>
      </w:r>
    </w:p>
    <w:p w14:paraId="390D03AC" w14:textId="63AEB49A" w:rsidR="00F71987" w:rsidRPr="00BA59F9" w:rsidRDefault="00092401" w:rsidP="00F71987">
      <w:pPr>
        <w:spacing w:after="240"/>
        <w:ind w:right="-1"/>
        <w:rPr>
          <w:rFonts w:ascii="Open Sans" w:eastAsia="Calibri" w:hAnsi="Open Sans" w:cs="Open Sans"/>
          <w:color w:val="000000" w:themeColor="text1"/>
          <w:sz w:val="20"/>
        </w:rPr>
      </w:pPr>
      <w:r>
        <w:rPr>
          <w:rFonts w:ascii="Open Sans" w:hAnsi="Open Sans"/>
          <w:color w:val="000000" w:themeColor="text1"/>
          <w:sz w:val="20"/>
        </w:rPr>
        <w:t>Le nuove torce iQ LMS Performance sono state sviluppate partendo dalla prima versione LMS introdotta con successo nell’autunno 2022, che si era già fatta notare per i suoi affinamenti tecnici e l’eccezionale ergonomia. Si distinguono, tra le altre cose, per l’innovativo sistema di raffreddamento dell’ugello portacorrente, un passaggio della corrente ottimale in tutta la torcia e una perfetta copertura con gas, che consente di ottenere cordoni di saldatura precisi soprattutto quando si saldano alluminio e acciaio inox. In questo modo, si evitano lavori di rifinitura e si abbassano i costi di produzione. Inoltre, un arco elettrico più stabile, una struttura semplice da riparare e la condotta del gas inerte separata, insieme a un minor consumo dei particolari soggetti a usura, contribuiscono a una maggiore sostenibilità. In quest’ottica, anche le confezioni delle torce e dei particolari soggetti a usura sono realizzate al 100% in cartone riciclato.</w:t>
      </w:r>
    </w:p>
    <w:p w14:paraId="49631E28" w14:textId="000DC6DE" w:rsidR="00FE10FC" w:rsidRPr="00B527F1" w:rsidRDefault="00B527F1" w:rsidP="00B527F1">
      <w:pPr>
        <w:rPr>
          <w:rFonts w:ascii="Open Sans" w:eastAsia="Calibri" w:hAnsi="Open Sans" w:cs="Open Sans"/>
          <w:sz w:val="20"/>
        </w:rPr>
      </w:pPr>
      <w:r>
        <w:rPr>
          <w:rFonts w:ascii="Open Sans" w:hAnsi="Open Sans"/>
          <w:color w:val="000000" w:themeColor="text1"/>
          <w:sz w:val="20"/>
        </w:rPr>
        <w:t>Andreas Rimböck</w:t>
      </w:r>
      <w:r>
        <w:rPr>
          <w:rFonts w:ascii="Open Sans" w:hAnsi="Open Sans"/>
          <w:sz w:val="20"/>
        </w:rPr>
        <w:t>, Direzione sviluppo torce presso Lorch:</w:t>
      </w:r>
      <w:r>
        <w:rPr>
          <w:rFonts w:ascii="Open Sans" w:hAnsi="Open Sans"/>
          <w:color w:val="000000" w:themeColor="text1"/>
          <w:sz w:val="20"/>
        </w:rPr>
        <w:t xml:space="preserve"> “Con le nuove torce LMS Performance, perfettamente compatibili con la nuova generazione di dispositivi iQS, offriamo ai nostri clienti l’eccellenza per quanto riguarda performance di saldatura, sostenibilità e comfort. L’elevata qualità di saldatura e la massima ergonomia della torcia alleggeriscono attivamente le attività quotidiane degli addetti alla saldatura che, in questo modo, possono concentrarsi completamente sul proprio lavoro. Il risultato? Un cordone di saldatura perfetto.” </w:t>
      </w:r>
      <w:r>
        <w:rPr>
          <w:rFonts w:ascii="Open Sans" w:hAnsi="Open Sans"/>
          <w:color w:val="000000" w:themeColor="text1"/>
          <w:sz w:val="20"/>
        </w:rPr>
        <w:br/>
      </w:r>
    </w:p>
    <w:p w14:paraId="4482424D" w14:textId="44C3CBB3" w:rsidR="00EF41A1" w:rsidRPr="002B2BE6" w:rsidRDefault="00EF41A1" w:rsidP="00EF41A1">
      <w:pPr>
        <w:spacing w:after="0" w:line="240" w:lineRule="auto"/>
        <w:rPr>
          <w:rFonts w:ascii="Times New Roman" w:hAnsi="Times New Roman"/>
          <w:b/>
          <w:bCs/>
          <w:sz w:val="24"/>
          <w:szCs w:val="24"/>
        </w:rPr>
      </w:pPr>
      <w:r>
        <w:rPr>
          <w:b/>
        </w:rPr>
        <w:t xml:space="preserve">Lorch sarà presente a </w:t>
      </w:r>
      <w:proofErr w:type="spellStart"/>
      <w:r>
        <w:rPr>
          <w:b/>
        </w:rPr>
        <w:t>Schweissen</w:t>
      </w:r>
      <w:proofErr w:type="spellEnd"/>
      <w:r>
        <w:rPr>
          <w:b/>
        </w:rPr>
        <w:t xml:space="preserve"> &amp; </w:t>
      </w:r>
      <w:proofErr w:type="spellStart"/>
      <w:r>
        <w:rPr>
          <w:b/>
        </w:rPr>
        <w:t>Schneiden</w:t>
      </w:r>
      <w:proofErr w:type="spellEnd"/>
      <w:r>
        <w:rPr>
          <w:b/>
        </w:rPr>
        <w:t xml:space="preserve"> 2023: </w:t>
      </w:r>
      <w:hyperlink r:id="rId11" w:history="1">
        <w:r>
          <w:rPr>
            <w:rFonts w:asciiTheme="minorHAnsi" w:hAnsiTheme="minorHAnsi"/>
            <w:b/>
          </w:rPr>
          <w:t>padiglione 5</w:t>
        </w:r>
      </w:hyperlink>
      <w:r>
        <w:rPr>
          <w:b/>
          <w:bCs/>
        </w:rPr>
        <w:t>, stand C28</w:t>
      </w:r>
    </w:p>
    <w:p w14:paraId="543667ED" w14:textId="77777777" w:rsidR="00EF41A1" w:rsidRDefault="00EF41A1" w:rsidP="00EF41A1"/>
    <w:p w14:paraId="463DD4C6" w14:textId="68A70530" w:rsidR="00EF41A1" w:rsidRDefault="00EF41A1" w:rsidP="00EF41A1">
      <w:pPr>
        <w:spacing w:after="240"/>
        <w:ind w:right="-1"/>
        <w:rPr>
          <w:rFonts w:ascii="Verdana" w:hAnsi="Verdana"/>
          <w:i/>
          <w:sz w:val="20"/>
          <w:szCs w:val="20"/>
        </w:rPr>
      </w:pPr>
      <w:r>
        <w:rPr>
          <w:rFonts w:ascii="Verdana" w:hAnsi="Verdana"/>
          <w:i/>
          <w:sz w:val="20"/>
        </w:rPr>
        <w:t xml:space="preserve">Lorch </w:t>
      </w:r>
      <w:proofErr w:type="spellStart"/>
      <w:r>
        <w:rPr>
          <w:rFonts w:ascii="Verdana" w:hAnsi="Verdana"/>
          <w:i/>
          <w:sz w:val="20"/>
        </w:rPr>
        <w:t>Schweißtechnik</w:t>
      </w:r>
      <w:proofErr w:type="spellEnd"/>
      <w:r>
        <w:rPr>
          <w:rFonts w:ascii="Verdana" w:hAnsi="Verdana"/>
          <w:i/>
          <w:sz w:val="20"/>
        </w:rPr>
        <w:t xml:space="preserve"> GmbH è un produttore leader degli impianti di saldatura ad arco elettrico per le applicazioni industriali, il complesso settore metalmeccanico e l'utilizzo nell'automazione con robot e sistemi robotizzati collaborativi. Inoltre, i sistemi formati da caschi e torce sviluppati in modo autonomo da Lorch assicurano risultati di saldatura ottimali. Gli impianti di qualità di Lorch sono prodotti da oltre 65 anni in Germania presso uno degli stabilimenti più moderni al mondo ed esportati in oltre 60 paesi. La tecnologia della saldatura di Lorch combina grandi vantaggi pratici, la massima semplicità </w:t>
      </w:r>
      <w:r>
        <w:rPr>
          <w:rFonts w:ascii="Verdana" w:hAnsi="Verdana"/>
          <w:i/>
          <w:sz w:val="20"/>
        </w:rPr>
        <w:lastRenderedPageBreak/>
        <w:t>gestionale ed un'elevata economicità definendo nuovi standard tecnologici per il mercato.</w:t>
      </w:r>
    </w:p>
    <w:p w14:paraId="400FA34B" w14:textId="37C9FB82" w:rsidR="00421C58" w:rsidRDefault="00421C58">
      <w:pPr>
        <w:rPr>
          <w:rFonts w:ascii="Verdana" w:hAnsi="Verdana"/>
          <w:i/>
          <w:sz w:val="20"/>
          <w:szCs w:val="20"/>
        </w:rPr>
      </w:pPr>
      <w:r>
        <w:rPr>
          <w:noProof/>
        </w:rPr>
        <w:drawing>
          <wp:inline distT="0" distB="0" distL="0" distR="0" wp14:anchorId="5AF097F4" wp14:editId="5AC285F0">
            <wp:extent cx="1832793" cy="1972703"/>
            <wp:effectExtent l="0" t="0" r="0" b="8890"/>
            <wp:docPr id="21" name="Grafik 21" descr="Ein Bild, das Werkzeug, Kabel, Thermome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Werkzeug, Kabel, Thermometer enthält.&#10;&#10;Automatisch generierte Beschreibung"/>
                    <pic:cNvPicPr/>
                  </pic:nvPicPr>
                  <pic:blipFill>
                    <a:blip r:embed="rId12"/>
                    <a:stretch>
                      <a:fillRect/>
                    </a:stretch>
                  </pic:blipFill>
                  <pic:spPr>
                    <a:xfrm>
                      <a:off x="0" y="0"/>
                      <a:ext cx="1847842" cy="1988901"/>
                    </a:xfrm>
                    <a:prstGeom prst="rect">
                      <a:avLst/>
                    </a:prstGeom>
                  </pic:spPr>
                </pic:pic>
              </a:graphicData>
            </a:graphic>
          </wp:inline>
        </w:drawing>
      </w:r>
    </w:p>
    <w:p w14:paraId="1BBB384E" w14:textId="5BC572B5" w:rsidR="00563F1E" w:rsidRPr="007711B1" w:rsidRDefault="007711B1">
      <w:pPr>
        <w:rPr>
          <w:rFonts w:asciiTheme="minorHAnsi" w:hAnsiTheme="minorHAnsi" w:cstheme="minorHAnsi"/>
          <w:iCs/>
          <w:sz w:val="20"/>
          <w:szCs w:val="20"/>
        </w:rPr>
      </w:pPr>
      <w:r>
        <w:rPr>
          <w:rFonts w:asciiTheme="minorHAnsi" w:hAnsiTheme="minorHAnsi"/>
          <w:sz w:val="20"/>
        </w:rPr>
        <w:t xml:space="preserve">Fig. 1: Grazie alla versione </w:t>
      </w:r>
      <w:proofErr w:type="spellStart"/>
      <w:r>
        <w:rPr>
          <w:rFonts w:asciiTheme="minorHAnsi" w:hAnsiTheme="minorHAnsi"/>
          <w:sz w:val="20"/>
        </w:rPr>
        <w:t>Powermaster</w:t>
      </w:r>
      <w:proofErr w:type="spellEnd"/>
      <w:r>
        <w:rPr>
          <w:rFonts w:asciiTheme="minorHAnsi" w:hAnsiTheme="minorHAnsi"/>
          <w:sz w:val="20"/>
        </w:rPr>
        <w:t xml:space="preserve"> con un display a colori di qualità, tutti i parametri possono essere configurati direttamente sulla torcia e tenuti sotto controllo.</w:t>
      </w:r>
    </w:p>
    <w:p w14:paraId="127D5767" w14:textId="18E621DF" w:rsidR="00757635" w:rsidRDefault="00B55286">
      <w:pPr>
        <w:rPr>
          <w:rFonts w:ascii="Verdana" w:hAnsi="Verdana"/>
          <w:i/>
          <w:sz w:val="20"/>
          <w:szCs w:val="20"/>
        </w:rPr>
      </w:pPr>
      <w:r>
        <w:rPr>
          <w:noProof/>
        </w:rPr>
        <w:drawing>
          <wp:inline distT="0" distB="0" distL="0" distR="0" wp14:anchorId="0285672C" wp14:editId="31388D29">
            <wp:extent cx="3200400" cy="2388446"/>
            <wp:effectExtent l="0" t="0" r="0" b="0"/>
            <wp:docPr id="22" name="Grafik 22" descr="Ein Bild, das Maschine, Person, Schutz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Maschine, Person, Schutzkleidung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4510" cy="2391513"/>
                    </a:xfrm>
                    <a:prstGeom prst="rect">
                      <a:avLst/>
                    </a:prstGeom>
                    <a:noFill/>
                    <a:ln>
                      <a:noFill/>
                    </a:ln>
                  </pic:spPr>
                </pic:pic>
              </a:graphicData>
            </a:graphic>
          </wp:inline>
        </w:drawing>
      </w:r>
    </w:p>
    <w:p w14:paraId="1AE97366" w14:textId="227CAEF3" w:rsidR="007711B1" w:rsidRDefault="007711B1">
      <w:pPr>
        <w:rPr>
          <w:rFonts w:ascii="Verdana" w:hAnsi="Verdana"/>
          <w:i/>
          <w:sz w:val="20"/>
          <w:szCs w:val="20"/>
        </w:rPr>
      </w:pPr>
      <w:r>
        <w:rPr>
          <w:sz w:val="20"/>
        </w:rPr>
        <w:t>Fig. 2: I modelli iQS ad elevate prestazione garantiscono una sinergia perfetta tra generatore di corrente e torcia.</w:t>
      </w:r>
      <w:r>
        <w:rPr>
          <w:rFonts w:ascii="Verdana" w:hAnsi="Verdana"/>
          <w:i/>
          <w:sz w:val="20"/>
        </w:rPr>
        <w:t xml:space="preserve"> </w:t>
      </w:r>
    </w:p>
    <w:p w14:paraId="56005694" w14:textId="5C50137B" w:rsidR="00FE10FC" w:rsidRDefault="00B55286">
      <w:pPr>
        <w:rPr>
          <w:rFonts w:ascii="Verdana" w:hAnsi="Verdana"/>
          <w:i/>
          <w:sz w:val="20"/>
          <w:szCs w:val="20"/>
        </w:rPr>
      </w:pPr>
      <w:r>
        <w:rPr>
          <w:noProof/>
        </w:rPr>
        <w:lastRenderedPageBreak/>
        <w:drawing>
          <wp:inline distT="0" distB="0" distL="0" distR="0" wp14:anchorId="2D77AD16" wp14:editId="3D71A495">
            <wp:extent cx="3170021" cy="2038350"/>
            <wp:effectExtent l="0" t="0" r="0" b="0"/>
            <wp:docPr id="23" name="Grafik 23" descr="Ein Bild, das Maschine, Elektronik, Autoteil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Maschine, Elektronik, Autoteile, Im Haus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3780" cy="2040767"/>
                    </a:xfrm>
                    <a:prstGeom prst="rect">
                      <a:avLst/>
                    </a:prstGeom>
                    <a:noFill/>
                    <a:ln>
                      <a:noFill/>
                    </a:ln>
                  </pic:spPr>
                </pic:pic>
              </a:graphicData>
            </a:graphic>
          </wp:inline>
        </w:drawing>
      </w:r>
    </w:p>
    <w:p w14:paraId="65FA6975" w14:textId="3ADD11C6" w:rsidR="00EF41A1" w:rsidRPr="00E70E30" w:rsidRDefault="007711B1" w:rsidP="00E70E30">
      <w:pPr>
        <w:rPr>
          <w:rFonts w:asciiTheme="minorHAnsi" w:hAnsiTheme="minorHAnsi" w:cstheme="minorHAnsi"/>
          <w:iCs/>
          <w:sz w:val="20"/>
          <w:szCs w:val="20"/>
        </w:rPr>
      </w:pPr>
      <w:r>
        <w:rPr>
          <w:rFonts w:asciiTheme="minorHAnsi" w:hAnsiTheme="minorHAnsi"/>
          <w:sz w:val="20"/>
        </w:rPr>
        <w:t>Fig. 3: Sostituzione della torcia in pochi secondi grazie al nuovo attacco centralizzato Lorch</w:t>
      </w:r>
    </w:p>
    <w:p w14:paraId="3A2774D0" w14:textId="77777777" w:rsidR="00CA36C9" w:rsidRDefault="00CA36C9" w:rsidP="00EF41A1">
      <w:pPr>
        <w:ind w:right="-1"/>
        <w:rPr>
          <w:rFonts w:ascii="Open Sans" w:hAnsi="Open Sans"/>
          <w:b/>
          <w:sz w:val="20"/>
        </w:rPr>
      </w:pPr>
    </w:p>
    <w:p w14:paraId="52AC9AC0" w14:textId="73AFCBB9" w:rsidR="00EF41A1" w:rsidRPr="00BC26CA" w:rsidRDefault="00EF41A1" w:rsidP="00EF41A1">
      <w:pPr>
        <w:ind w:right="-1"/>
        <w:rPr>
          <w:rFonts w:ascii="Open Sans" w:hAnsi="Open Sans" w:cs="Open Sans"/>
          <w:b/>
          <w:sz w:val="20"/>
          <w:szCs w:val="20"/>
        </w:rPr>
      </w:pPr>
      <w:r>
        <w:rPr>
          <w:rFonts w:ascii="Open Sans" w:hAnsi="Open Sans"/>
          <w:b/>
          <w:sz w:val="20"/>
        </w:rPr>
        <w:t xml:space="preserve">Contatto stampa </w:t>
      </w:r>
    </w:p>
    <w:p w14:paraId="42B98B25" w14:textId="77777777" w:rsidR="00EF41A1"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 xml:space="preserve">Lorch </w:t>
      </w:r>
      <w:proofErr w:type="spellStart"/>
      <w:r>
        <w:rPr>
          <w:rFonts w:ascii="Open Sans" w:hAnsi="Open Sans"/>
          <w:color w:val="auto"/>
          <w:sz w:val="20"/>
        </w:rPr>
        <w:t>Schweißtechnik</w:t>
      </w:r>
      <w:proofErr w:type="spellEnd"/>
      <w:r>
        <w:rPr>
          <w:rFonts w:ascii="Open Sans" w:hAnsi="Open Sans"/>
          <w:color w:val="auto"/>
          <w:sz w:val="20"/>
        </w:rPr>
        <w:t xml:space="preserve"> GmbH</w:t>
      </w:r>
      <w:r>
        <w:rPr>
          <w:rFonts w:ascii="Open Sans" w:hAnsi="Open Sans"/>
          <w:color w:val="auto"/>
          <w:sz w:val="20"/>
        </w:rPr>
        <w:br/>
        <w:t>Corinna Baketaric</w:t>
      </w:r>
    </w:p>
    <w:p w14:paraId="631BEAA6" w14:textId="77777777" w:rsidR="00EF41A1" w:rsidRPr="00BC26CA"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Im Anwänder 24 - 26</w:t>
      </w:r>
      <w:r>
        <w:rPr>
          <w:rFonts w:ascii="Open Sans" w:hAnsi="Open Sans"/>
          <w:color w:val="auto"/>
          <w:sz w:val="20"/>
        </w:rPr>
        <w:br/>
        <w:t>71549 Auenwald</w:t>
      </w:r>
    </w:p>
    <w:p w14:paraId="4105C4D6" w14:textId="77777777" w:rsidR="00EF41A1" w:rsidRPr="00BC26CA"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Germany / Germania</w:t>
      </w:r>
      <w:r>
        <w:rPr>
          <w:rFonts w:ascii="Open Sans" w:hAnsi="Open Sans"/>
          <w:color w:val="auto"/>
          <w:sz w:val="20"/>
        </w:rPr>
        <w:br/>
      </w:r>
    </w:p>
    <w:p w14:paraId="155D1A1D" w14:textId="77777777" w:rsidR="00EF41A1" w:rsidRPr="00BC26CA" w:rsidRDefault="00CA36C9"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5" w:history="1">
        <w:r w:rsidR="0004787D">
          <w:rPr>
            <w:rStyle w:val="Hyperlink"/>
            <w:rFonts w:ascii="Open Sans" w:hAnsi="Open Sans"/>
            <w:color w:val="auto"/>
            <w:sz w:val="20"/>
          </w:rPr>
          <w:t>presse@lorch.eu</w:t>
        </w:r>
      </w:hyperlink>
    </w:p>
    <w:p w14:paraId="2FBF923E" w14:textId="77777777" w:rsidR="00EF41A1" w:rsidRPr="00BC26CA"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Tel. +49 7191 503-0</w:t>
      </w:r>
    </w:p>
    <w:p w14:paraId="635A27D8" w14:textId="77777777" w:rsidR="00EF41A1" w:rsidRPr="00BC26CA" w:rsidRDefault="00EF41A1"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 xml:space="preserve">La ristampa è consentita senza vincoli. È richiesta una copia giustificativa. </w:t>
      </w:r>
    </w:p>
    <w:p w14:paraId="1ABFF070" w14:textId="77777777" w:rsidR="00FE10FC" w:rsidRPr="00563F1E" w:rsidRDefault="00FE10FC">
      <w:pPr>
        <w:rPr>
          <w:rFonts w:ascii="Verdana" w:hAnsi="Verdana"/>
          <w:b/>
          <w:bCs/>
          <w:i/>
          <w:sz w:val="20"/>
          <w:szCs w:val="20"/>
        </w:rPr>
      </w:pPr>
    </w:p>
    <w:p w14:paraId="07EAB001" w14:textId="77777777" w:rsidR="00857A7E" w:rsidRPr="004B7CB7"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4B7CB7"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60B6D" w14:textId="77777777" w:rsidR="009E0858" w:rsidRDefault="009E0858" w:rsidP="0081148E">
      <w:pPr>
        <w:spacing w:after="0" w:line="240" w:lineRule="auto"/>
      </w:pPr>
      <w:r>
        <w:separator/>
      </w:r>
    </w:p>
  </w:endnote>
  <w:endnote w:type="continuationSeparator" w:id="0">
    <w:p w14:paraId="58B3AFC5" w14:textId="77777777" w:rsidR="009E0858" w:rsidRDefault="009E0858"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auto"/>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Pagina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di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Pagina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di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74E66" w14:textId="77777777" w:rsidR="009E0858" w:rsidRDefault="009E0858" w:rsidP="0081148E">
      <w:pPr>
        <w:spacing w:after="0" w:line="240" w:lineRule="auto"/>
      </w:pPr>
      <w:r>
        <w:separator/>
      </w:r>
    </w:p>
  </w:footnote>
  <w:footnote w:type="continuationSeparator" w:id="0">
    <w:p w14:paraId="48F6B39F" w14:textId="77777777" w:rsidR="009E0858" w:rsidRDefault="009E0858"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EEE39"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1011B9"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0C8BBA"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B0B3C"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Pr>
        <w:rFonts w:ascii="Proxima Nova" w:hAnsi="Proxima Nova"/>
        <w:color w:val="000000"/>
        <w:sz w:val="32"/>
      </w:rPr>
      <w:t>Comunicato stampa</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180C7504" w14:textId="1E1D03BB" w:rsidR="004437D1" w:rsidRDefault="00F81272" w:rsidP="004B7CB7">
    <w:pPr>
      <w:spacing w:before="320" w:after="0" w:line="240" w:lineRule="auto"/>
    </w:pPr>
    <w:proofErr w:type="spellStart"/>
    <w:r>
      <w:rPr>
        <w:rFonts w:ascii="Open Sans" w:hAnsi="Open Sans"/>
        <w:color w:val="000000"/>
        <w:sz w:val="20"/>
      </w:rPr>
      <w:t>Auenwald</w:t>
    </w:r>
    <w:proofErr w:type="spellEnd"/>
    <w:r>
      <w:rPr>
        <w:rFonts w:ascii="Open Sans" w:hAnsi="Open Sans"/>
        <w:color w:val="000000"/>
        <w:sz w:val="20"/>
      </w:rPr>
      <w:t xml:space="preserve">, </w:t>
    </w:r>
    <w:r w:rsidR="00CA36C9">
      <w:rPr>
        <w:noProof/>
      </w:rPr>
      <mc:AlternateContent>
        <mc:Choice Requires="wps">
          <w:drawing>
            <wp:anchor distT="0" distB="0" distL="114300" distR="114300" simplePos="0" relativeHeight="251679232" behindDoc="0" locked="0" layoutInCell="1" allowOverlap="1" wp14:anchorId="582C16E2" wp14:editId="2E76C082">
              <wp:simplePos x="0" y="0"/>
              <wp:positionH relativeFrom="page">
                <wp:posOffset>107950</wp:posOffset>
              </wp:positionH>
              <wp:positionV relativeFrom="page">
                <wp:posOffset>7560945</wp:posOffset>
              </wp:positionV>
              <wp:extent cx="14605" cy="14605"/>
              <wp:effectExtent l="0" t="0" r="0" b="0"/>
              <wp:wrapNone/>
              <wp:docPr id="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5FF868" id="Oval 12" o:spid="_x0000_s1026" style="position:absolute;margin-left:8.5pt;margin-top:595.35pt;width:1.15pt;height:1.1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CA36C9">
      <w:rPr>
        <w:noProof/>
      </w:rPr>
      <mc:AlternateContent>
        <mc:Choice Requires="wps">
          <w:drawing>
            <wp:anchor distT="0" distB="0" distL="114300" distR="114300" simplePos="0" relativeHeight="251680256" behindDoc="0" locked="0" layoutInCell="1" allowOverlap="1" wp14:anchorId="1CC3FDFD" wp14:editId="25F3A6AF">
              <wp:simplePos x="0" y="0"/>
              <wp:positionH relativeFrom="page">
                <wp:posOffset>144145</wp:posOffset>
              </wp:positionH>
              <wp:positionV relativeFrom="page">
                <wp:posOffset>7560945</wp:posOffset>
              </wp:positionV>
              <wp:extent cx="14605" cy="14605"/>
              <wp:effectExtent l="0" t="0" r="0" b="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34AC7D" id="Oval 13" o:spid="_x0000_s1026" style="position:absolute;margin-left:11.35pt;margin-top:595.35pt;width:1.15pt;height:1.1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CA36C9">
      <w:rPr>
        <w:noProof/>
      </w:rPr>
      <mc:AlternateContent>
        <mc:Choice Requires="wps">
          <w:drawing>
            <wp:anchor distT="4294967292" distB="4294967292" distL="114300" distR="114300" simplePos="0" relativeHeight="251678208" behindDoc="0" locked="0" layoutInCell="1" allowOverlap="1" wp14:anchorId="0F4E3DE7" wp14:editId="47A96E7B">
              <wp:simplePos x="0" y="0"/>
              <wp:positionH relativeFrom="page">
                <wp:posOffset>0</wp:posOffset>
              </wp:positionH>
              <wp:positionV relativeFrom="page">
                <wp:posOffset>3960494</wp:posOffset>
              </wp:positionV>
              <wp:extent cx="179705" cy="0"/>
              <wp:effectExtent l="0" t="0" r="10795" b="0"/>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D2397A" id="_x0000_t32" coordsize="21600,21600" o:spt="32" o:oned="t" path="m,l21600,21600e" filled="f">
              <v:path arrowok="t" fillok="f" o:connecttype="none"/>
              <o:lock v:ext="edit" shapetype="t"/>
            </v:shapetype>
            <v:shape id="AutoShape 11" o:spid="_x0000_s1026" type="#_x0000_t32" style="position:absolute;margin-left:0;margin-top:311.85pt;width:14.15pt;height:0;z-index:25167820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CA36C9">
      <w:rPr>
        <w:rFonts w:ascii="Open Sans" w:hAnsi="Open Sans"/>
        <w:color w:val="000000"/>
        <w:sz w:val="20"/>
      </w:rPr>
      <w:t>11</w:t>
    </w:r>
    <w:r>
      <w:rPr>
        <w:rFonts w:ascii="Open Sans" w:hAnsi="Open Sans"/>
        <w:color w:val="000000"/>
        <w:sz w:val="20"/>
      </w:rPr>
      <w:t>/</w:t>
    </w:r>
    <w:r w:rsidR="00CA36C9">
      <w:rPr>
        <w:rFonts w:ascii="Open Sans" w:hAnsi="Open Sans"/>
        <w:color w:val="000000"/>
        <w:sz w:val="20"/>
      </w:rPr>
      <w:t>0</w:t>
    </w:r>
    <w:r w:rsidR="00CA36C9">
      <w:rPr>
        <w:rFonts w:ascii="Open Sans" w:hAnsi="Open Sans"/>
        <w:color w:val="000000"/>
        <w:sz w:val="20"/>
      </w:rPr>
      <w:t>9</w:t>
    </w:r>
    <w:r>
      <w:rPr>
        <w:rFonts w:ascii="Open Sans" w:hAnsi="Open Sans"/>
        <w:color w:val="000000"/>
        <w:sz w:val="20"/>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Comunicato stampa</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DDDE87"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699ABB"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FDE84"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E71CB"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 w:numId="4" w16cid:durableId="67658010">
    <w:abstractNumId w:val="4"/>
  </w:num>
  <w:num w:numId="5" w16cid:durableId="843790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3B8E"/>
    <w:rsid w:val="00017DE3"/>
    <w:rsid w:val="0002043F"/>
    <w:rsid w:val="000236C0"/>
    <w:rsid w:val="00024A27"/>
    <w:rsid w:val="00024D7E"/>
    <w:rsid w:val="000274FB"/>
    <w:rsid w:val="000313EE"/>
    <w:rsid w:val="00035552"/>
    <w:rsid w:val="000373CC"/>
    <w:rsid w:val="00040D49"/>
    <w:rsid w:val="000416FB"/>
    <w:rsid w:val="00044891"/>
    <w:rsid w:val="0004561F"/>
    <w:rsid w:val="000472B5"/>
    <w:rsid w:val="0004787D"/>
    <w:rsid w:val="00052CD6"/>
    <w:rsid w:val="000538D3"/>
    <w:rsid w:val="00054302"/>
    <w:rsid w:val="00057D12"/>
    <w:rsid w:val="0006190F"/>
    <w:rsid w:val="000636B2"/>
    <w:rsid w:val="000677ED"/>
    <w:rsid w:val="00067CBC"/>
    <w:rsid w:val="00070A78"/>
    <w:rsid w:val="00072DA0"/>
    <w:rsid w:val="000731B5"/>
    <w:rsid w:val="00076628"/>
    <w:rsid w:val="00082A90"/>
    <w:rsid w:val="00083FE3"/>
    <w:rsid w:val="00084070"/>
    <w:rsid w:val="000840E4"/>
    <w:rsid w:val="00087EFD"/>
    <w:rsid w:val="000912B6"/>
    <w:rsid w:val="00092401"/>
    <w:rsid w:val="000A064B"/>
    <w:rsid w:val="000A1E97"/>
    <w:rsid w:val="000A2C2C"/>
    <w:rsid w:val="000A4A3B"/>
    <w:rsid w:val="000B3654"/>
    <w:rsid w:val="000B50BC"/>
    <w:rsid w:val="000C1181"/>
    <w:rsid w:val="000C2152"/>
    <w:rsid w:val="000C578B"/>
    <w:rsid w:val="000D02CC"/>
    <w:rsid w:val="000D08CB"/>
    <w:rsid w:val="000D2B65"/>
    <w:rsid w:val="000D2E04"/>
    <w:rsid w:val="000E0084"/>
    <w:rsid w:val="000E4494"/>
    <w:rsid w:val="000E77E3"/>
    <w:rsid w:val="000F4E8A"/>
    <w:rsid w:val="000F55E5"/>
    <w:rsid w:val="000F5839"/>
    <w:rsid w:val="000F6F66"/>
    <w:rsid w:val="00100DB3"/>
    <w:rsid w:val="0010343E"/>
    <w:rsid w:val="00105046"/>
    <w:rsid w:val="00105758"/>
    <w:rsid w:val="001100E3"/>
    <w:rsid w:val="001126E8"/>
    <w:rsid w:val="0011342A"/>
    <w:rsid w:val="001144C6"/>
    <w:rsid w:val="00117BD2"/>
    <w:rsid w:val="001220AE"/>
    <w:rsid w:val="00122BB0"/>
    <w:rsid w:val="001236A7"/>
    <w:rsid w:val="0012381E"/>
    <w:rsid w:val="0012484D"/>
    <w:rsid w:val="00132B71"/>
    <w:rsid w:val="00140A0E"/>
    <w:rsid w:val="001453C4"/>
    <w:rsid w:val="00145B2A"/>
    <w:rsid w:val="00146354"/>
    <w:rsid w:val="00162D31"/>
    <w:rsid w:val="00162F4A"/>
    <w:rsid w:val="00163239"/>
    <w:rsid w:val="001709C7"/>
    <w:rsid w:val="0017215B"/>
    <w:rsid w:val="001723B5"/>
    <w:rsid w:val="00172EDA"/>
    <w:rsid w:val="0017318D"/>
    <w:rsid w:val="00174009"/>
    <w:rsid w:val="00174F90"/>
    <w:rsid w:val="00180119"/>
    <w:rsid w:val="00180395"/>
    <w:rsid w:val="00184438"/>
    <w:rsid w:val="00187435"/>
    <w:rsid w:val="00190A66"/>
    <w:rsid w:val="00190BC1"/>
    <w:rsid w:val="00191D52"/>
    <w:rsid w:val="001A204E"/>
    <w:rsid w:val="001B1165"/>
    <w:rsid w:val="001B1883"/>
    <w:rsid w:val="001B30BA"/>
    <w:rsid w:val="001B67B5"/>
    <w:rsid w:val="001B76B5"/>
    <w:rsid w:val="001C4F5E"/>
    <w:rsid w:val="001F0361"/>
    <w:rsid w:val="001F7416"/>
    <w:rsid w:val="00206AB4"/>
    <w:rsid w:val="0021249C"/>
    <w:rsid w:val="00213FC3"/>
    <w:rsid w:val="00217428"/>
    <w:rsid w:val="00220EAA"/>
    <w:rsid w:val="00235FBF"/>
    <w:rsid w:val="00236A10"/>
    <w:rsid w:val="00241335"/>
    <w:rsid w:val="00244725"/>
    <w:rsid w:val="00246673"/>
    <w:rsid w:val="00247605"/>
    <w:rsid w:val="00250831"/>
    <w:rsid w:val="00253BF5"/>
    <w:rsid w:val="0025429A"/>
    <w:rsid w:val="0026104B"/>
    <w:rsid w:val="0026129F"/>
    <w:rsid w:val="002628DF"/>
    <w:rsid w:val="00265414"/>
    <w:rsid w:val="00265D24"/>
    <w:rsid w:val="002732E0"/>
    <w:rsid w:val="00282742"/>
    <w:rsid w:val="00283C1D"/>
    <w:rsid w:val="00290E6D"/>
    <w:rsid w:val="00291473"/>
    <w:rsid w:val="00293EE9"/>
    <w:rsid w:val="00294B48"/>
    <w:rsid w:val="00294D1E"/>
    <w:rsid w:val="002A413E"/>
    <w:rsid w:val="002A7D2B"/>
    <w:rsid w:val="002B05B6"/>
    <w:rsid w:val="002B7909"/>
    <w:rsid w:val="002D04E0"/>
    <w:rsid w:val="002D7027"/>
    <w:rsid w:val="002E3BA3"/>
    <w:rsid w:val="002E3F6B"/>
    <w:rsid w:val="002F2DF0"/>
    <w:rsid w:val="002F61BC"/>
    <w:rsid w:val="00301BCF"/>
    <w:rsid w:val="00306925"/>
    <w:rsid w:val="00306A0A"/>
    <w:rsid w:val="00306CBC"/>
    <w:rsid w:val="003117BF"/>
    <w:rsid w:val="003169B4"/>
    <w:rsid w:val="003170EE"/>
    <w:rsid w:val="00317AEF"/>
    <w:rsid w:val="0032123A"/>
    <w:rsid w:val="003220C5"/>
    <w:rsid w:val="00331384"/>
    <w:rsid w:val="00333181"/>
    <w:rsid w:val="0033355C"/>
    <w:rsid w:val="00334008"/>
    <w:rsid w:val="00334C0E"/>
    <w:rsid w:val="0033708E"/>
    <w:rsid w:val="0033771C"/>
    <w:rsid w:val="00340206"/>
    <w:rsid w:val="00342627"/>
    <w:rsid w:val="00344AFC"/>
    <w:rsid w:val="003464B9"/>
    <w:rsid w:val="003469F9"/>
    <w:rsid w:val="00350AB2"/>
    <w:rsid w:val="00352AD8"/>
    <w:rsid w:val="00353785"/>
    <w:rsid w:val="003538EB"/>
    <w:rsid w:val="003601E5"/>
    <w:rsid w:val="003622DD"/>
    <w:rsid w:val="00372D54"/>
    <w:rsid w:val="00373F0A"/>
    <w:rsid w:val="00374715"/>
    <w:rsid w:val="00375951"/>
    <w:rsid w:val="0038026C"/>
    <w:rsid w:val="00380B90"/>
    <w:rsid w:val="003819FB"/>
    <w:rsid w:val="00382ED0"/>
    <w:rsid w:val="00383375"/>
    <w:rsid w:val="00384426"/>
    <w:rsid w:val="0038502E"/>
    <w:rsid w:val="0038667C"/>
    <w:rsid w:val="003869D1"/>
    <w:rsid w:val="00390251"/>
    <w:rsid w:val="003937D3"/>
    <w:rsid w:val="00397055"/>
    <w:rsid w:val="0039739F"/>
    <w:rsid w:val="00397AB6"/>
    <w:rsid w:val="003A411B"/>
    <w:rsid w:val="003A5ED2"/>
    <w:rsid w:val="003A76D8"/>
    <w:rsid w:val="003B02C3"/>
    <w:rsid w:val="003B0B58"/>
    <w:rsid w:val="003B121E"/>
    <w:rsid w:val="003B4328"/>
    <w:rsid w:val="003B7C70"/>
    <w:rsid w:val="003C13D2"/>
    <w:rsid w:val="003C22E5"/>
    <w:rsid w:val="003C724C"/>
    <w:rsid w:val="003D50E2"/>
    <w:rsid w:val="003E1BB8"/>
    <w:rsid w:val="003E6D81"/>
    <w:rsid w:val="003F7427"/>
    <w:rsid w:val="00401363"/>
    <w:rsid w:val="00402189"/>
    <w:rsid w:val="00402F9A"/>
    <w:rsid w:val="0040578B"/>
    <w:rsid w:val="004066F9"/>
    <w:rsid w:val="004124FA"/>
    <w:rsid w:val="0041334F"/>
    <w:rsid w:val="00414C1F"/>
    <w:rsid w:val="00415E92"/>
    <w:rsid w:val="00416000"/>
    <w:rsid w:val="00421071"/>
    <w:rsid w:val="004216E4"/>
    <w:rsid w:val="004219B9"/>
    <w:rsid w:val="00421C58"/>
    <w:rsid w:val="004265E8"/>
    <w:rsid w:val="00430EC2"/>
    <w:rsid w:val="0043565F"/>
    <w:rsid w:val="00436504"/>
    <w:rsid w:val="004437D1"/>
    <w:rsid w:val="004475A8"/>
    <w:rsid w:val="00450E9F"/>
    <w:rsid w:val="00450FE3"/>
    <w:rsid w:val="0045204A"/>
    <w:rsid w:val="00454C53"/>
    <w:rsid w:val="00456D33"/>
    <w:rsid w:val="00457341"/>
    <w:rsid w:val="00462F5C"/>
    <w:rsid w:val="00463281"/>
    <w:rsid w:val="004665B4"/>
    <w:rsid w:val="004675EC"/>
    <w:rsid w:val="00467F0D"/>
    <w:rsid w:val="004762DA"/>
    <w:rsid w:val="004767CC"/>
    <w:rsid w:val="00482CEE"/>
    <w:rsid w:val="0048563F"/>
    <w:rsid w:val="004856E8"/>
    <w:rsid w:val="00485953"/>
    <w:rsid w:val="00487540"/>
    <w:rsid w:val="00491001"/>
    <w:rsid w:val="004A24ED"/>
    <w:rsid w:val="004A35C2"/>
    <w:rsid w:val="004A634C"/>
    <w:rsid w:val="004A7064"/>
    <w:rsid w:val="004A76D3"/>
    <w:rsid w:val="004B22E0"/>
    <w:rsid w:val="004B3A0E"/>
    <w:rsid w:val="004B5E09"/>
    <w:rsid w:val="004B7CB7"/>
    <w:rsid w:val="004B7D6A"/>
    <w:rsid w:val="004C2AD7"/>
    <w:rsid w:val="004C5878"/>
    <w:rsid w:val="004C7691"/>
    <w:rsid w:val="004C7BB5"/>
    <w:rsid w:val="004D0009"/>
    <w:rsid w:val="004D0DC5"/>
    <w:rsid w:val="004D36FB"/>
    <w:rsid w:val="004D51D3"/>
    <w:rsid w:val="004E17D2"/>
    <w:rsid w:val="004E2BCC"/>
    <w:rsid w:val="004E33FA"/>
    <w:rsid w:val="004E36AB"/>
    <w:rsid w:val="004E4CDF"/>
    <w:rsid w:val="004E6F79"/>
    <w:rsid w:val="004F0F03"/>
    <w:rsid w:val="004F110B"/>
    <w:rsid w:val="004F2F97"/>
    <w:rsid w:val="00504D6B"/>
    <w:rsid w:val="00504E38"/>
    <w:rsid w:val="0050646E"/>
    <w:rsid w:val="005101C8"/>
    <w:rsid w:val="0051205F"/>
    <w:rsid w:val="00513EC7"/>
    <w:rsid w:val="005140CD"/>
    <w:rsid w:val="005201A3"/>
    <w:rsid w:val="00520811"/>
    <w:rsid w:val="00522EA2"/>
    <w:rsid w:val="00523880"/>
    <w:rsid w:val="00531B0F"/>
    <w:rsid w:val="00535396"/>
    <w:rsid w:val="00536679"/>
    <w:rsid w:val="0054055E"/>
    <w:rsid w:val="005407CF"/>
    <w:rsid w:val="005409DE"/>
    <w:rsid w:val="00542731"/>
    <w:rsid w:val="0054322C"/>
    <w:rsid w:val="005470F3"/>
    <w:rsid w:val="00553ECC"/>
    <w:rsid w:val="0055647B"/>
    <w:rsid w:val="005573DC"/>
    <w:rsid w:val="00561B9D"/>
    <w:rsid w:val="00563451"/>
    <w:rsid w:val="00563F1E"/>
    <w:rsid w:val="0056400B"/>
    <w:rsid w:val="005652B6"/>
    <w:rsid w:val="005719A0"/>
    <w:rsid w:val="00571E00"/>
    <w:rsid w:val="005812AC"/>
    <w:rsid w:val="00583A48"/>
    <w:rsid w:val="00584AD2"/>
    <w:rsid w:val="00586E3B"/>
    <w:rsid w:val="00587123"/>
    <w:rsid w:val="005908B8"/>
    <w:rsid w:val="0059235A"/>
    <w:rsid w:val="00593D96"/>
    <w:rsid w:val="005941A2"/>
    <w:rsid w:val="0059464B"/>
    <w:rsid w:val="005954AC"/>
    <w:rsid w:val="00595715"/>
    <w:rsid w:val="00596D13"/>
    <w:rsid w:val="005A2F7B"/>
    <w:rsid w:val="005A4468"/>
    <w:rsid w:val="005B4C0D"/>
    <w:rsid w:val="005B52EB"/>
    <w:rsid w:val="005B7F01"/>
    <w:rsid w:val="005C0E5C"/>
    <w:rsid w:val="005C2C44"/>
    <w:rsid w:val="005C2EFD"/>
    <w:rsid w:val="005C4662"/>
    <w:rsid w:val="005C50EE"/>
    <w:rsid w:val="005C569E"/>
    <w:rsid w:val="005D23F4"/>
    <w:rsid w:val="005D407A"/>
    <w:rsid w:val="005D5708"/>
    <w:rsid w:val="005D61CD"/>
    <w:rsid w:val="005D6F47"/>
    <w:rsid w:val="005E114E"/>
    <w:rsid w:val="005E2E48"/>
    <w:rsid w:val="005E4771"/>
    <w:rsid w:val="005E6E55"/>
    <w:rsid w:val="005E7BBF"/>
    <w:rsid w:val="005F0E40"/>
    <w:rsid w:val="005F2067"/>
    <w:rsid w:val="005F3A7D"/>
    <w:rsid w:val="005F5471"/>
    <w:rsid w:val="00604705"/>
    <w:rsid w:val="00611CE4"/>
    <w:rsid w:val="00616B87"/>
    <w:rsid w:val="00617EFF"/>
    <w:rsid w:val="00621904"/>
    <w:rsid w:val="0062316A"/>
    <w:rsid w:val="00624D90"/>
    <w:rsid w:val="00627C7B"/>
    <w:rsid w:val="0063778C"/>
    <w:rsid w:val="0064191F"/>
    <w:rsid w:val="00643B5B"/>
    <w:rsid w:val="00650792"/>
    <w:rsid w:val="006555A6"/>
    <w:rsid w:val="006628CA"/>
    <w:rsid w:val="006639A8"/>
    <w:rsid w:val="00666244"/>
    <w:rsid w:val="0067051C"/>
    <w:rsid w:val="006741FF"/>
    <w:rsid w:val="00674668"/>
    <w:rsid w:val="00683BB4"/>
    <w:rsid w:val="00690887"/>
    <w:rsid w:val="00693420"/>
    <w:rsid w:val="00693B79"/>
    <w:rsid w:val="00694854"/>
    <w:rsid w:val="00694ACA"/>
    <w:rsid w:val="0069683B"/>
    <w:rsid w:val="006972E5"/>
    <w:rsid w:val="006973E8"/>
    <w:rsid w:val="006A05A8"/>
    <w:rsid w:val="006B07A8"/>
    <w:rsid w:val="006B1612"/>
    <w:rsid w:val="006B364F"/>
    <w:rsid w:val="006B430A"/>
    <w:rsid w:val="006B4C38"/>
    <w:rsid w:val="006C2BFE"/>
    <w:rsid w:val="006D4AAE"/>
    <w:rsid w:val="006D5205"/>
    <w:rsid w:val="006D65B0"/>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13DE"/>
    <w:rsid w:val="0073617D"/>
    <w:rsid w:val="007365CF"/>
    <w:rsid w:val="0074382C"/>
    <w:rsid w:val="00751414"/>
    <w:rsid w:val="00757635"/>
    <w:rsid w:val="00760184"/>
    <w:rsid w:val="0076036E"/>
    <w:rsid w:val="00760474"/>
    <w:rsid w:val="007623EE"/>
    <w:rsid w:val="007639FA"/>
    <w:rsid w:val="00766F3F"/>
    <w:rsid w:val="007672A5"/>
    <w:rsid w:val="00771090"/>
    <w:rsid w:val="007711B1"/>
    <w:rsid w:val="007715AF"/>
    <w:rsid w:val="00772862"/>
    <w:rsid w:val="007732F4"/>
    <w:rsid w:val="00776EF4"/>
    <w:rsid w:val="00780F29"/>
    <w:rsid w:val="007826CC"/>
    <w:rsid w:val="00782C5D"/>
    <w:rsid w:val="00783FD7"/>
    <w:rsid w:val="0078614C"/>
    <w:rsid w:val="0079300E"/>
    <w:rsid w:val="007A064F"/>
    <w:rsid w:val="007A0E5D"/>
    <w:rsid w:val="007A1D9B"/>
    <w:rsid w:val="007A3A17"/>
    <w:rsid w:val="007A78C6"/>
    <w:rsid w:val="007B3616"/>
    <w:rsid w:val="007B431F"/>
    <w:rsid w:val="007B5D05"/>
    <w:rsid w:val="007B634A"/>
    <w:rsid w:val="007B6DBC"/>
    <w:rsid w:val="007B7E3C"/>
    <w:rsid w:val="007C1A7F"/>
    <w:rsid w:val="007C43BF"/>
    <w:rsid w:val="007C4CE5"/>
    <w:rsid w:val="007C6924"/>
    <w:rsid w:val="007C7D18"/>
    <w:rsid w:val="007D1FB0"/>
    <w:rsid w:val="007D3B6F"/>
    <w:rsid w:val="007E055F"/>
    <w:rsid w:val="007E0A88"/>
    <w:rsid w:val="007E1E5E"/>
    <w:rsid w:val="007E2939"/>
    <w:rsid w:val="007E316F"/>
    <w:rsid w:val="007F2571"/>
    <w:rsid w:val="007F30EE"/>
    <w:rsid w:val="00801431"/>
    <w:rsid w:val="00802E1B"/>
    <w:rsid w:val="00810803"/>
    <w:rsid w:val="008109C1"/>
    <w:rsid w:val="0081148E"/>
    <w:rsid w:val="00814E2F"/>
    <w:rsid w:val="00815B05"/>
    <w:rsid w:val="00817DF2"/>
    <w:rsid w:val="00820698"/>
    <w:rsid w:val="008229AB"/>
    <w:rsid w:val="008241E2"/>
    <w:rsid w:val="00825A3D"/>
    <w:rsid w:val="00825D9E"/>
    <w:rsid w:val="00830032"/>
    <w:rsid w:val="00832877"/>
    <w:rsid w:val="00843695"/>
    <w:rsid w:val="008441D6"/>
    <w:rsid w:val="00844A51"/>
    <w:rsid w:val="008471F0"/>
    <w:rsid w:val="0085331F"/>
    <w:rsid w:val="008564DD"/>
    <w:rsid w:val="00856AB5"/>
    <w:rsid w:val="00857A7E"/>
    <w:rsid w:val="00861788"/>
    <w:rsid w:val="00866CE6"/>
    <w:rsid w:val="00870B06"/>
    <w:rsid w:val="00871130"/>
    <w:rsid w:val="0088146F"/>
    <w:rsid w:val="00881B58"/>
    <w:rsid w:val="00883677"/>
    <w:rsid w:val="0088515A"/>
    <w:rsid w:val="00885218"/>
    <w:rsid w:val="00886BD8"/>
    <w:rsid w:val="00890746"/>
    <w:rsid w:val="008919C8"/>
    <w:rsid w:val="00893311"/>
    <w:rsid w:val="008950F8"/>
    <w:rsid w:val="008954BA"/>
    <w:rsid w:val="008A1315"/>
    <w:rsid w:val="008A2CF8"/>
    <w:rsid w:val="008A615F"/>
    <w:rsid w:val="008B04E8"/>
    <w:rsid w:val="008B0F7C"/>
    <w:rsid w:val="008B30CC"/>
    <w:rsid w:val="008B3F15"/>
    <w:rsid w:val="008B491A"/>
    <w:rsid w:val="008C09C0"/>
    <w:rsid w:val="008C2BE6"/>
    <w:rsid w:val="008C574F"/>
    <w:rsid w:val="008C5D3B"/>
    <w:rsid w:val="008C769A"/>
    <w:rsid w:val="008C7A76"/>
    <w:rsid w:val="008D2849"/>
    <w:rsid w:val="008D4C16"/>
    <w:rsid w:val="008D74E1"/>
    <w:rsid w:val="008E55EE"/>
    <w:rsid w:val="008E5D51"/>
    <w:rsid w:val="008F0A34"/>
    <w:rsid w:val="008F4CF0"/>
    <w:rsid w:val="008F579C"/>
    <w:rsid w:val="008F5921"/>
    <w:rsid w:val="0090311C"/>
    <w:rsid w:val="00904CC0"/>
    <w:rsid w:val="00904EA3"/>
    <w:rsid w:val="00906A9E"/>
    <w:rsid w:val="009239E2"/>
    <w:rsid w:val="009257E1"/>
    <w:rsid w:val="00933094"/>
    <w:rsid w:val="00934CF2"/>
    <w:rsid w:val="00940C39"/>
    <w:rsid w:val="009519B1"/>
    <w:rsid w:val="00953090"/>
    <w:rsid w:val="009559A2"/>
    <w:rsid w:val="00955FF9"/>
    <w:rsid w:val="00957401"/>
    <w:rsid w:val="00957617"/>
    <w:rsid w:val="00957DB9"/>
    <w:rsid w:val="00961C62"/>
    <w:rsid w:val="00962802"/>
    <w:rsid w:val="009655AC"/>
    <w:rsid w:val="00967B97"/>
    <w:rsid w:val="00971EB6"/>
    <w:rsid w:val="0097368E"/>
    <w:rsid w:val="00974316"/>
    <w:rsid w:val="0097747A"/>
    <w:rsid w:val="00982993"/>
    <w:rsid w:val="00982AB6"/>
    <w:rsid w:val="009914E8"/>
    <w:rsid w:val="009925C4"/>
    <w:rsid w:val="009946C3"/>
    <w:rsid w:val="009A24F2"/>
    <w:rsid w:val="009A4C1B"/>
    <w:rsid w:val="009A69A9"/>
    <w:rsid w:val="009A7FA9"/>
    <w:rsid w:val="009B000C"/>
    <w:rsid w:val="009B0E69"/>
    <w:rsid w:val="009B4643"/>
    <w:rsid w:val="009B4D54"/>
    <w:rsid w:val="009B5679"/>
    <w:rsid w:val="009B5878"/>
    <w:rsid w:val="009B6AD8"/>
    <w:rsid w:val="009B7341"/>
    <w:rsid w:val="009C0C0C"/>
    <w:rsid w:val="009C3A24"/>
    <w:rsid w:val="009C3FAD"/>
    <w:rsid w:val="009C415B"/>
    <w:rsid w:val="009C41FD"/>
    <w:rsid w:val="009C6B27"/>
    <w:rsid w:val="009C6BBE"/>
    <w:rsid w:val="009C7446"/>
    <w:rsid w:val="009D3014"/>
    <w:rsid w:val="009D4939"/>
    <w:rsid w:val="009D6690"/>
    <w:rsid w:val="009E0858"/>
    <w:rsid w:val="009E2310"/>
    <w:rsid w:val="009E2AE8"/>
    <w:rsid w:val="009E3262"/>
    <w:rsid w:val="009E3BCD"/>
    <w:rsid w:val="009F12F8"/>
    <w:rsid w:val="009F7111"/>
    <w:rsid w:val="00A0185E"/>
    <w:rsid w:val="00A01FB5"/>
    <w:rsid w:val="00A1327B"/>
    <w:rsid w:val="00A138F9"/>
    <w:rsid w:val="00A14063"/>
    <w:rsid w:val="00A15936"/>
    <w:rsid w:val="00A17DCE"/>
    <w:rsid w:val="00A17FA4"/>
    <w:rsid w:val="00A23468"/>
    <w:rsid w:val="00A324AD"/>
    <w:rsid w:val="00A3321E"/>
    <w:rsid w:val="00A366D0"/>
    <w:rsid w:val="00A40CD3"/>
    <w:rsid w:val="00A44E87"/>
    <w:rsid w:val="00A45F9C"/>
    <w:rsid w:val="00A521FC"/>
    <w:rsid w:val="00A525A9"/>
    <w:rsid w:val="00A526AA"/>
    <w:rsid w:val="00A5608C"/>
    <w:rsid w:val="00A56A27"/>
    <w:rsid w:val="00A623E8"/>
    <w:rsid w:val="00A62573"/>
    <w:rsid w:val="00A62DCD"/>
    <w:rsid w:val="00A65266"/>
    <w:rsid w:val="00A675EF"/>
    <w:rsid w:val="00A71A7C"/>
    <w:rsid w:val="00A73794"/>
    <w:rsid w:val="00A7431F"/>
    <w:rsid w:val="00A7778A"/>
    <w:rsid w:val="00A807C2"/>
    <w:rsid w:val="00A86F17"/>
    <w:rsid w:val="00A91F7F"/>
    <w:rsid w:val="00A9347D"/>
    <w:rsid w:val="00A96653"/>
    <w:rsid w:val="00A9797E"/>
    <w:rsid w:val="00A97E27"/>
    <w:rsid w:val="00AB3BAD"/>
    <w:rsid w:val="00AB6BF1"/>
    <w:rsid w:val="00AC1D56"/>
    <w:rsid w:val="00AC3E56"/>
    <w:rsid w:val="00AC43C7"/>
    <w:rsid w:val="00AD1710"/>
    <w:rsid w:val="00AD1715"/>
    <w:rsid w:val="00AD1D59"/>
    <w:rsid w:val="00AD2252"/>
    <w:rsid w:val="00AD3F4C"/>
    <w:rsid w:val="00AD4118"/>
    <w:rsid w:val="00AD4FF8"/>
    <w:rsid w:val="00AE0323"/>
    <w:rsid w:val="00AE0C2A"/>
    <w:rsid w:val="00AE0CB0"/>
    <w:rsid w:val="00AE3086"/>
    <w:rsid w:val="00AE6756"/>
    <w:rsid w:val="00AE6D5E"/>
    <w:rsid w:val="00AE7ABF"/>
    <w:rsid w:val="00AF3176"/>
    <w:rsid w:val="00AF6B2F"/>
    <w:rsid w:val="00B0230F"/>
    <w:rsid w:val="00B02432"/>
    <w:rsid w:val="00B03712"/>
    <w:rsid w:val="00B05BDA"/>
    <w:rsid w:val="00B06BBF"/>
    <w:rsid w:val="00B07125"/>
    <w:rsid w:val="00B11F9B"/>
    <w:rsid w:val="00B12269"/>
    <w:rsid w:val="00B14133"/>
    <w:rsid w:val="00B14C72"/>
    <w:rsid w:val="00B22B89"/>
    <w:rsid w:val="00B27A05"/>
    <w:rsid w:val="00B30EE2"/>
    <w:rsid w:val="00B33D06"/>
    <w:rsid w:val="00B34882"/>
    <w:rsid w:val="00B34CAB"/>
    <w:rsid w:val="00B35E49"/>
    <w:rsid w:val="00B43686"/>
    <w:rsid w:val="00B452D6"/>
    <w:rsid w:val="00B46589"/>
    <w:rsid w:val="00B46BE0"/>
    <w:rsid w:val="00B51229"/>
    <w:rsid w:val="00B52583"/>
    <w:rsid w:val="00B527F1"/>
    <w:rsid w:val="00B53BA5"/>
    <w:rsid w:val="00B54CF9"/>
    <w:rsid w:val="00B55286"/>
    <w:rsid w:val="00B56B27"/>
    <w:rsid w:val="00B60BDC"/>
    <w:rsid w:val="00B60DD3"/>
    <w:rsid w:val="00B65005"/>
    <w:rsid w:val="00B666F0"/>
    <w:rsid w:val="00B67F16"/>
    <w:rsid w:val="00B7286F"/>
    <w:rsid w:val="00B7448E"/>
    <w:rsid w:val="00B748D4"/>
    <w:rsid w:val="00B75434"/>
    <w:rsid w:val="00B767ED"/>
    <w:rsid w:val="00B77296"/>
    <w:rsid w:val="00B81271"/>
    <w:rsid w:val="00B82B1E"/>
    <w:rsid w:val="00B908C2"/>
    <w:rsid w:val="00BA0706"/>
    <w:rsid w:val="00BA0C42"/>
    <w:rsid w:val="00BA103D"/>
    <w:rsid w:val="00BA4E29"/>
    <w:rsid w:val="00BA5708"/>
    <w:rsid w:val="00BA59F9"/>
    <w:rsid w:val="00BA7B22"/>
    <w:rsid w:val="00BA7E66"/>
    <w:rsid w:val="00BB5420"/>
    <w:rsid w:val="00BB6A94"/>
    <w:rsid w:val="00BC1626"/>
    <w:rsid w:val="00BC21CF"/>
    <w:rsid w:val="00BC325F"/>
    <w:rsid w:val="00BC4141"/>
    <w:rsid w:val="00BC5DAB"/>
    <w:rsid w:val="00BD02A6"/>
    <w:rsid w:val="00BD03C5"/>
    <w:rsid w:val="00BD05A0"/>
    <w:rsid w:val="00BD1658"/>
    <w:rsid w:val="00BD3F42"/>
    <w:rsid w:val="00BD42B8"/>
    <w:rsid w:val="00BD5FD6"/>
    <w:rsid w:val="00BD6AC2"/>
    <w:rsid w:val="00BE7AE7"/>
    <w:rsid w:val="00BF3168"/>
    <w:rsid w:val="00BF58C4"/>
    <w:rsid w:val="00BF6436"/>
    <w:rsid w:val="00C04F03"/>
    <w:rsid w:val="00C05A61"/>
    <w:rsid w:val="00C07355"/>
    <w:rsid w:val="00C115A7"/>
    <w:rsid w:val="00C1326F"/>
    <w:rsid w:val="00C16D3A"/>
    <w:rsid w:val="00C30E0F"/>
    <w:rsid w:val="00C335E5"/>
    <w:rsid w:val="00C363C9"/>
    <w:rsid w:val="00C36CA3"/>
    <w:rsid w:val="00C412B3"/>
    <w:rsid w:val="00C46C15"/>
    <w:rsid w:val="00C47349"/>
    <w:rsid w:val="00C47536"/>
    <w:rsid w:val="00C47715"/>
    <w:rsid w:val="00C53668"/>
    <w:rsid w:val="00C54AA6"/>
    <w:rsid w:val="00C5511D"/>
    <w:rsid w:val="00C55E6C"/>
    <w:rsid w:val="00C56F69"/>
    <w:rsid w:val="00C575D9"/>
    <w:rsid w:val="00C61A0D"/>
    <w:rsid w:val="00C62A10"/>
    <w:rsid w:val="00C633BC"/>
    <w:rsid w:val="00C7003A"/>
    <w:rsid w:val="00C7098C"/>
    <w:rsid w:val="00C77293"/>
    <w:rsid w:val="00C85C78"/>
    <w:rsid w:val="00C917D3"/>
    <w:rsid w:val="00C93826"/>
    <w:rsid w:val="00C9392F"/>
    <w:rsid w:val="00C95691"/>
    <w:rsid w:val="00C95DB8"/>
    <w:rsid w:val="00C97696"/>
    <w:rsid w:val="00CA0DAB"/>
    <w:rsid w:val="00CA2664"/>
    <w:rsid w:val="00CA36C9"/>
    <w:rsid w:val="00CA3824"/>
    <w:rsid w:val="00CA781A"/>
    <w:rsid w:val="00CB2861"/>
    <w:rsid w:val="00CB4B3F"/>
    <w:rsid w:val="00CC7B37"/>
    <w:rsid w:val="00CD6C56"/>
    <w:rsid w:val="00CE02F7"/>
    <w:rsid w:val="00CE2BD5"/>
    <w:rsid w:val="00CE5B8C"/>
    <w:rsid w:val="00CE64B6"/>
    <w:rsid w:val="00CE7E3F"/>
    <w:rsid w:val="00CF5699"/>
    <w:rsid w:val="00D01E0A"/>
    <w:rsid w:val="00D03E1A"/>
    <w:rsid w:val="00D03E88"/>
    <w:rsid w:val="00D14912"/>
    <w:rsid w:val="00D15AF5"/>
    <w:rsid w:val="00D16A90"/>
    <w:rsid w:val="00D206EE"/>
    <w:rsid w:val="00D24948"/>
    <w:rsid w:val="00D25945"/>
    <w:rsid w:val="00D26C28"/>
    <w:rsid w:val="00D30411"/>
    <w:rsid w:val="00D30844"/>
    <w:rsid w:val="00D31AEA"/>
    <w:rsid w:val="00D355AE"/>
    <w:rsid w:val="00D35DD7"/>
    <w:rsid w:val="00D3768E"/>
    <w:rsid w:val="00D40DE0"/>
    <w:rsid w:val="00D43A07"/>
    <w:rsid w:val="00D44546"/>
    <w:rsid w:val="00D4526D"/>
    <w:rsid w:val="00D5610D"/>
    <w:rsid w:val="00D62454"/>
    <w:rsid w:val="00D63167"/>
    <w:rsid w:val="00D6321F"/>
    <w:rsid w:val="00D63498"/>
    <w:rsid w:val="00D65337"/>
    <w:rsid w:val="00D65D55"/>
    <w:rsid w:val="00D67F10"/>
    <w:rsid w:val="00D749CB"/>
    <w:rsid w:val="00D766EC"/>
    <w:rsid w:val="00D7703B"/>
    <w:rsid w:val="00D77165"/>
    <w:rsid w:val="00D77BB9"/>
    <w:rsid w:val="00D77F99"/>
    <w:rsid w:val="00D8300C"/>
    <w:rsid w:val="00D861CD"/>
    <w:rsid w:val="00D9089A"/>
    <w:rsid w:val="00D90B24"/>
    <w:rsid w:val="00D91BC4"/>
    <w:rsid w:val="00D97DC6"/>
    <w:rsid w:val="00DA4FE2"/>
    <w:rsid w:val="00DB5352"/>
    <w:rsid w:val="00DC050B"/>
    <w:rsid w:val="00DC1192"/>
    <w:rsid w:val="00DC11D8"/>
    <w:rsid w:val="00DC3AA6"/>
    <w:rsid w:val="00DC7B01"/>
    <w:rsid w:val="00DC7C8F"/>
    <w:rsid w:val="00DD142B"/>
    <w:rsid w:val="00DD3436"/>
    <w:rsid w:val="00DD66B6"/>
    <w:rsid w:val="00DE222E"/>
    <w:rsid w:val="00DE3B1C"/>
    <w:rsid w:val="00DE518E"/>
    <w:rsid w:val="00DE6B58"/>
    <w:rsid w:val="00DF10DF"/>
    <w:rsid w:val="00E02FB3"/>
    <w:rsid w:val="00E11B05"/>
    <w:rsid w:val="00E12973"/>
    <w:rsid w:val="00E13043"/>
    <w:rsid w:val="00E146B4"/>
    <w:rsid w:val="00E220C2"/>
    <w:rsid w:val="00E265B4"/>
    <w:rsid w:val="00E27563"/>
    <w:rsid w:val="00E27777"/>
    <w:rsid w:val="00E31A3A"/>
    <w:rsid w:val="00E32B27"/>
    <w:rsid w:val="00E37C15"/>
    <w:rsid w:val="00E4077B"/>
    <w:rsid w:val="00E414AA"/>
    <w:rsid w:val="00E46350"/>
    <w:rsid w:val="00E5369C"/>
    <w:rsid w:val="00E53DEF"/>
    <w:rsid w:val="00E60181"/>
    <w:rsid w:val="00E632C4"/>
    <w:rsid w:val="00E63E32"/>
    <w:rsid w:val="00E70E30"/>
    <w:rsid w:val="00E76A96"/>
    <w:rsid w:val="00E8055D"/>
    <w:rsid w:val="00E8296A"/>
    <w:rsid w:val="00E82EDB"/>
    <w:rsid w:val="00E851F2"/>
    <w:rsid w:val="00E87EBA"/>
    <w:rsid w:val="00EA2796"/>
    <w:rsid w:val="00EB33EC"/>
    <w:rsid w:val="00EB4A6C"/>
    <w:rsid w:val="00EC14C3"/>
    <w:rsid w:val="00EC5A68"/>
    <w:rsid w:val="00ED013A"/>
    <w:rsid w:val="00ED0D6B"/>
    <w:rsid w:val="00ED3210"/>
    <w:rsid w:val="00ED3886"/>
    <w:rsid w:val="00ED5222"/>
    <w:rsid w:val="00EE01B1"/>
    <w:rsid w:val="00EE6051"/>
    <w:rsid w:val="00EE6A97"/>
    <w:rsid w:val="00EF3ACF"/>
    <w:rsid w:val="00EF41A1"/>
    <w:rsid w:val="00EF6CD2"/>
    <w:rsid w:val="00EF7A23"/>
    <w:rsid w:val="00F00D4D"/>
    <w:rsid w:val="00F02DF0"/>
    <w:rsid w:val="00F03A33"/>
    <w:rsid w:val="00F11739"/>
    <w:rsid w:val="00F13F47"/>
    <w:rsid w:val="00F159CF"/>
    <w:rsid w:val="00F172BD"/>
    <w:rsid w:val="00F17DC4"/>
    <w:rsid w:val="00F231BA"/>
    <w:rsid w:val="00F27A33"/>
    <w:rsid w:val="00F3376E"/>
    <w:rsid w:val="00F33E3D"/>
    <w:rsid w:val="00F3630A"/>
    <w:rsid w:val="00F36771"/>
    <w:rsid w:val="00F37B5F"/>
    <w:rsid w:val="00F47863"/>
    <w:rsid w:val="00F504F5"/>
    <w:rsid w:val="00F5570A"/>
    <w:rsid w:val="00F55EE6"/>
    <w:rsid w:val="00F650B9"/>
    <w:rsid w:val="00F65819"/>
    <w:rsid w:val="00F674A9"/>
    <w:rsid w:val="00F70CA6"/>
    <w:rsid w:val="00F7151A"/>
    <w:rsid w:val="00F71987"/>
    <w:rsid w:val="00F71C5B"/>
    <w:rsid w:val="00F72F22"/>
    <w:rsid w:val="00F77819"/>
    <w:rsid w:val="00F77982"/>
    <w:rsid w:val="00F80971"/>
    <w:rsid w:val="00F80BCB"/>
    <w:rsid w:val="00F80BD8"/>
    <w:rsid w:val="00F81272"/>
    <w:rsid w:val="00F83BEB"/>
    <w:rsid w:val="00F86260"/>
    <w:rsid w:val="00F87108"/>
    <w:rsid w:val="00F91B80"/>
    <w:rsid w:val="00FB5CE0"/>
    <w:rsid w:val="00FC394C"/>
    <w:rsid w:val="00FC6B48"/>
    <w:rsid w:val="00FC7E84"/>
    <w:rsid w:val="00FD47A5"/>
    <w:rsid w:val="00FD4DC0"/>
    <w:rsid w:val="00FE10FC"/>
    <w:rsid w:val="00FE2A58"/>
    <w:rsid w:val="00FE7697"/>
    <w:rsid w:val="00FF3310"/>
    <w:rsid w:val="00FF5C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normaltextrun">
    <w:name w:val="normaltextrun"/>
    <w:basedOn w:val="Absatz-Standardschriftart"/>
    <w:rsid w:val="00BA5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490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576742364">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967919">
      <w:bodyDiv w:val="1"/>
      <w:marLeft w:val="0"/>
      <w:marRight w:val="0"/>
      <w:marTop w:val="0"/>
      <w:marBottom w:val="0"/>
      <w:divBdr>
        <w:top w:val="none" w:sz="0" w:space="0" w:color="auto"/>
        <w:left w:val="none" w:sz="0" w:space="0" w:color="auto"/>
        <w:bottom w:val="none" w:sz="0" w:space="0" w:color="auto"/>
        <w:right w:val="none" w:sz="0" w:space="0" w:color="auto"/>
      </w:divBdr>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79D2F6-4A5B-4EED-83A6-5EEFF8657670}">
  <ds:schemaRefs>
    <ds:schemaRef ds:uri="http://schemas.microsoft.com/office/2006/metadata/properties"/>
    <ds:schemaRef ds:uri="http://www.w3.org/2000/xmlns/"/>
    <ds:schemaRef ds:uri="http://schemas.microsoft.com/office/infopath/2007/PartnerControls"/>
  </ds:schemaRefs>
</ds:datastoreItem>
</file>

<file path=customXml/itemProps2.xml><?xml version="1.0" encoding="utf-8"?>
<ds:datastoreItem xmlns:ds="http://schemas.openxmlformats.org/officeDocument/2006/customXml" ds:itemID="{F2C78184-1FC3-4DAE-B237-67DB2A07D72A}"/>
</file>

<file path=customXml/itemProps3.xml><?xml version="1.0" encoding="utf-8"?>
<ds:datastoreItem xmlns:ds="http://schemas.openxmlformats.org/officeDocument/2006/customXml" ds:itemID="{A2ECD4A0-8BEE-4584-9026-07A8899A2B7B}">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839A1076-0317-4EDD-B1BD-A7FF6CFAE7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802</Words>
  <Characters>5053</Characters>
  <Application>Microsoft Office Word</Application>
  <DocSecurity>4</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Baketaric, Corinna</cp:lastModifiedBy>
  <cp:revision>2</cp:revision>
  <cp:lastPrinted>2022-10-13T07:20:00Z</cp:lastPrinted>
  <dcterms:created xsi:type="dcterms:W3CDTF">2023-09-13T13:47:00Z</dcterms:created>
  <dcterms:modified xsi:type="dcterms:W3CDTF">2023-09-13T13:47:00Z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0x010100B659AF1DBDC75841860AAF03E0BFD0AC</vt:lpwstr>
  </property>
</Properties>
</file>